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CE3" w:rsidRPr="00AF4890" w:rsidRDefault="00C15CE3" w:rsidP="00C15CE3">
      <w:pPr>
        <w:jc w:val="center"/>
        <w:rPr>
          <w:rFonts w:ascii="Arial" w:hAnsi="Arial" w:cs="Arial"/>
          <w:b/>
          <w:sz w:val="23"/>
          <w:szCs w:val="23"/>
        </w:rPr>
      </w:pPr>
      <w:bookmarkStart w:id="0" w:name="_GoBack"/>
      <w:bookmarkEnd w:id="0"/>
      <w:r w:rsidRPr="00AF4890">
        <w:rPr>
          <w:rFonts w:ascii="Arial" w:hAnsi="Arial" w:cs="Arial"/>
          <w:b/>
          <w:sz w:val="23"/>
          <w:szCs w:val="23"/>
        </w:rPr>
        <w:t>EXECUTIVE SUMMARY</w:t>
      </w:r>
    </w:p>
    <w:p w:rsidR="00C15CE3" w:rsidRDefault="00C15CE3" w:rsidP="00C15CE3">
      <w:pPr>
        <w:rPr>
          <w:rFonts w:ascii="Arial" w:hAnsi="Arial" w:cs="Arial"/>
        </w:rPr>
      </w:pPr>
    </w:p>
    <w:p w:rsidR="008B2FFC" w:rsidRPr="00DB0C3B" w:rsidRDefault="008B2FFC" w:rsidP="00C15CE3">
      <w:pPr>
        <w:rPr>
          <w:rFonts w:ascii="Arial" w:hAnsi="Arial" w:cs="Arial"/>
        </w:rPr>
      </w:pPr>
    </w:p>
    <w:p w:rsidR="00C15CE3" w:rsidRPr="00AF4890" w:rsidRDefault="00C15CE3" w:rsidP="00C15CE3">
      <w:pPr>
        <w:rPr>
          <w:rFonts w:ascii="Arial" w:hAnsi="Arial" w:cs="Arial"/>
          <w:b/>
          <w:sz w:val="22"/>
          <w:szCs w:val="22"/>
        </w:rPr>
      </w:pPr>
      <w:r w:rsidRPr="00AF4890">
        <w:rPr>
          <w:rFonts w:ascii="Arial" w:hAnsi="Arial" w:cs="Arial"/>
          <w:b/>
          <w:sz w:val="22"/>
          <w:szCs w:val="22"/>
        </w:rPr>
        <w:t>INTRODUCTION</w:t>
      </w:r>
    </w:p>
    <w:p w:rsidR="00C15CE3" w:rsidRPr="00DB0C3B" w:rsidRDefault="00C15CE3" w:rsidP="00C15CE3">
      <w:pPr>
        <w:rPr>
          <w:rFonts w:ascii="Arial" w:hAnsi="Arial" w:cs="Arial"/>
          <w:sz w:val="22"/>
          <w:szCs w:val="22"/>
        </w:rPr>
      </w:pPr>
    </w:p>
    <w:p w:rsidR="00C15CE3" w:rsidRPr="00DB0C3B" w:rsidRDefault="00C15CE3" w:rsidP="00C15CE3">
      <w:pPr>
        <w:jc w:val="both"/>
        <w:rPr>
          <w:rFonts w:ascii="Arial" w:eastAsia="Batang" w:hAnsi="Arial" w:cs="Arial"/>
          <w:sz w:val="22"/>
          <w:szCs w:val="22"/>
        </w:rPr>
      </w:pPr>
      <w:r w:rsidRPr="00DB0C3B">
        <w:rPr>
          <w:rFonts w:ascii="Arial" w:hAnsi="Arial" w:cs="Arial"/>
          <w:sz w:val="22"/>
          <w:szCs w:val="22"/>
        </w:rPr>
        <w:t>The National Tobacco Administration (NTA) is a non-stock government-owned and controlled corporation created under Executive Order (EO) No. 116 dated January 30, 1987, which was implemented by EO No. 245 dated J</w:t>
      </w:r>
      <w:r w:rsidR="001353D4">
        <w:rPr>
          <w:rFonts w:ascii="Arial" w:hAnsi="Arial" w:cs="Arial"/>
          <w:sz w:val="22"/>
          <w:szCs w:val="22"/>
        </w:rPr>
        <w:t>uly 24, 1987. Under EO No. 245,</w:t>
      </w:r>
      <w:r w:rsidRPr="00DB0C3B">
        <w:rPr>
          <w:rFonts w:ascii="Arial" w:hAnsi="Arial" w:cs="Arial"/>
          <w:sz w:val="22"/>
          <w:szCs w:val="22"/>
        </w:rPr>
        <w:t xml:space="preserve"> seven tobacco agencies were merged to the N</w:t>
      </w:r>
      <w:r w:rsidR="00680F4D">
        <w:rPr>
          <w:rFonts w:ascii="Arial" w:hAnsi="Arial" w:cs="Arial"/>
          <w:sz w:val="22"/>
          <w:szCs w:val="22"/>
        </w:rPr>
        <w:t>TA</w:t>
      </w:r>
      <w:r w:rsidRPr="00DB0C3B">
        <w:rPr>
          <w:rFonts w:ascii="Arial" w:hAnsi="Arial" w:cs="Arial"/>
          <w:sz w:val="22"/>
          <w:szCs w:val="22"/>
        </w:rPr>
        <w:t xml:space="preserve">. The </w:t>
      </w:r>
      <w:r w:rsidR="00680F4D">
        <w:rPr>
          <w:rFonts w:ascii="Arial" w:hAnsi="Arial" w:cs="Arial"/>
          <w:sz w:val="22"/>
          <w:szCs w:val="22"/>
        </w:rPr>
        <w:t>Corporation</w:t>
      </w:r>
      <w:r w:rsidRPr="00DB0C3B">
        <w:rPr>
          <w:rFonts w:ascii="Arial" w:hAnsi="Arial" w:cs="Arial"/>
          <w:sz w:val="22"/>
          <w:szCs w:val="22"/>
        </w:rPr>
        <w:t xml:space="preserve"> is mandated to: (1)</w:t>
      </w:r>
      <w:r w:rsidRPr="00DB0C3B">
        <w:rPr>
          <w:rFonts w:ascii="Arial" w:eastAsia="Batang" w:hAnsi="Arial" w:cs="Arial"/>
          <w:sz w:val="22"/>
          <w:szCs w:val="22"/>
        </w:rPr>
        <w:t xml:space="preserve"> improve the economic and living conditions and raise the quality of life of the tobacco farmers </w:t>
      </w:r>
      <w:r w:rsidR="00680F4D">
        <w:rPr>
          <w:rFonts w:ascii="Arial" w:eastAsia="Batang" w:hAnsi="Arial" w:cs="Arial"/>
          <w:sz w:val="22"/>
          <w:szCs w:val="22"/>
        </w:rPr>
        <w:t xml:space="preserve">    </w:t>
      </w:r>
      <w:r w:rsidRPr="00DB0C3B">
        <w:rPr>
          <w:rFonts w:ascii="Arial" w:eastAsia="Batang" w:hAnsi="Arial" w:cs="Arial"/>
          <w:sz w:val="22"/>
          <w:szCs w:val="22"/>
        </w:rPr>
        <w:t xml:space="preserve">including </w:t>
      </w:r>
      <w:r w:rsidR="00680F4D">
        <w:rPr>
          <w:rFonts w:ascii="Arial" w:eastAsia="Batang" w:hAnsi="Arial" w:cs="Arial"/>
          <w:sz w:val="22"/>
          <w:szCs w:val="22"/>
        </w:rPr>
        <w:t xml:space="preserve"> </w:t>
      </w:r>
      <w:r w:rsidRPr="00DB0C3B">
        <w:rPr>
          <w:rFonts w:ascii="Arial" w:eastAsia="Batang" w:hAnsi="Arial" w:cs="Arial"/>
          <w:sz w:val="22"/>
          <w:szCs w:val="22"/>
        </w:rPr>
        <w:t xml:space="preserve">those </w:t>
      </w:r>
      <w:r w:rsidR="00680F4D">
        <w:rPr>
          <w:rFonts w:ascii="Arial" w:eastAsia="Batang" w:hAnsi="Arial" w:cs="Arial"/>
          <w:sz w:val="22"/>
          <w:szCs w:val="22"/>
        </w:rPr>
        <w:t xml:space="preserve"> </w:t>
      </w:r>
      <w:r w:rsidRPr="00DB0C3B">
        <w:rPr>
          <w:rFonts w:ascii="Arial" w:eastAsia="Batang" w:hAnsi="Arial" w:cs="Arial"/>
          <w:sz w:val="22"/>
          <w:szCs w:val="22"/>
        </w:rPr>
        <w:t xml:space="preserve">who </w:t>
      </w:r>
      <w:r w:rsidR="00680F4D">
        <w:rPr>
          <w:rFonts w:ascii="Arial" w:eastAsia="Batang" w:hAnsi="Arial" w:cs="Arial"/>
          <w:sz w:val="22"/>
          <w:szCs w:val="22"/>
        </w:rPr>
        <w:t xml:space="preserve"> </w:t>
      </w:r>
      <w:r w:rsidRPr="00DB0C3B">
        <w:rPr>
          <w:rFonts w:ascii="Arial" w:eastAsia="Batang" w:hAnsi="Arial" w:cs="Arial"/>
          <w:sz w:val="22"/>
          <w:szCs w:val="22"/>
        </w:rPr>
        <w:t>depend</w:t>
      </w:r>
      <w:r w:rsidR="00680F4D">
        <w:rPr>
          <w:rFonts w:ascii="Arial" w:eastAsia="Batang" w:hAnsi="Arial" w:cs="Arial"/>
          <w:sz w:val="22"/>
          <w:szCs w:val="22"/>
        </w:rPr>
        <w:t xml:space="preserve"> </w:t>
      </w:r>
      <w:r w:rsidRPr="00DB0C3B">
        <w:rPr>
          <w:rFonts w:ascii="Arial" w:eastAsia="Batang" w:hAnsi="Arial" w:cs="Arial"/>
          <w:sz w:val="22"/>
          <w:szCs w:val="22"/>
        </w:rPr>
        <w:t xml:space="preserve"> upon </w:t>
      </w:r>
      <w:r w:rsidR="00680F4D">
        <w:rPr>
          <w:rFonts w:ascii="Arial" w:eastAsia="Batang" w:hAnsi="Arial" w:cs="Arial"/>
          <w:sz w:val="22"/>
          <w:szCs w:val="22"/>
        </w:rPr>
        <w:t xml:space="preserve"> </w:t>
      </w:r>
      <w:r w:rsidRPr="00DB0C3B">
        <w:rPr>
          <w:rFonts w:ascii="Arial" w:eastAsia="Batang" w:hAnsi="Arial" w:cs="Arial"/>
          <w:sz w:val="22"/>
          <w:szCs w:val="22"/>
        </w:rPr>
        <w:t xml:space="preserve">the </w:t>
      </w:r>
      <w:r w:rsidR="00680F4D">
        <w:rPr>
          <w:rFonts w:ascii="Arial" w:eastAsia="Batang" w:hAnsi="Arial" w:cs="Arial"/>
          <w:sz w:val="22"/>
          <w:szCs w:val="22"/>
        </w:rPr>
        <w:t xml:space="preserve"> </w:t>
      </w:r>
      <w:r w:rsidRPr="00DB0C3B">
        <w:rPr>
          <w:rFonts w:ascii="Arial" w:eastAsia="Batang" w:hAnsi="Arial" w:cs="Arial"/>
          <w:sz w:val="22"/>
          <w:szCs w:val="22"/>
        </w:rPr>
        <w:t xml:space="preserve">industry </w:t>
      </w:r>
      <w:r w:rsidR="00680F4D">
        <w:rPr>
          <w:rFonts w:ascii="Arial" w:eastAsia="Batang" w:hAnsi="Arial" w:cs="Arial"/>
          <w:sz w:val="22"/>
          <w:szCs w:val="22"/>
        </w:rPr>
        <w:t xml:space="preserve"> </w:t>
      </w:r>
      <w:r w:rsidRPr="00DB0C3B">
        <w:rPr>
          <w:rFonts w:ascii="Arial" w:eastAsia="Batang" w:hAnsi="Arial" w:cs="Arial"/>
          <w:sz w:val="22"/>
          <w:szCs w:val="22"/>
        </w:rPr>
        <w:t xml:space="preserve">for </w:t>
      </w:r>
      <w:r w:rsidR="00680F4D">
        <w:rPr>
          <w:rFonts w:ascii="Arial" w:eastAsia="Batang" w:hAnsi="Arial" w:cs="Arial"/>
          <w:sz w:val="22"/>
          <w:szCs w:val="22"/>
        </w:rPr>
        <w:t xml:space="preserve"> </w:t>
      </w:r>
      <w:r w:rsidRPr="00DB0C3B">
        <w:rPr>
          <w:rFonts w:ascii="Arial" w:eastAsia="Batang" w:hAnsi="Arial" w:cs="Arial"/>
          <w:sz w:val="22"/>
          <w:szCs w:val="22"/>
        </w:rPr>
        <w:t>their</w:t>
      </w:r>
      <w:r w:rsidR="00680F4D">
        <w:rPr>
          <w:rFonts w:ascii="Arial" w:eastAsia="Batang" w:hAnsi="Arial" w:cs="Arial"/>
          <w:sz w:val="22"/>
          <w:szCs w:val="22"/>
        </w:rPr>
        <w:t xml:space="preserve"> </w:t>
      </w:r>
      <w:r w:rsidRPr="00DB0C3B">
        <w:rPr>
          <w:rFonts w:ascii="Arial" w:eastAsia="Batang" w:hAnsi="Arial" w:cs="Arial"/>
          <w:sz w:val="22"/>
          <w:szCs w:val="22"/>
        </w:rPr>
        <w:t xml:space="preserve"> livelihood;</w:t>
      </w:r>
      <w:r w:rsidR="00680F4D">
        <w:rPr>
          <w:rFonts w:ascii="Arial" w:eastAsia="Batang" w:hAnsi="Arial" w:cs="Arial"/>
          <w:sz w:val="22"/>
          <w:szCs w:val="22"/>
        </w:rPr>
        <w:t xml:space="preserve"> </w:t>
      </w:r>
      <w:r w:rsidRPr="00DB0C3B">
        <w:rPr>
          <w:rFonts w:ascii="Arial" w:eastAsia="Batang" w:hAnsi="Arial" w:cs="Arial"/>
          <w:sz w:val="22"/>
          <w:szCs w:val="22"/>
        </w:rPr>
        <w:t xml:space="preserve"> and (2) promote the balanced and integrated growth and development of the industry and help make agriculture a solid base for massive industrialization. NTA also administers and regulates the tobacco industry of the Philippines.</w:t>
      </w:r>
    </w:p>
    <w:p w:rsidR="00C15CE3" w:rsidRPr="00DB0C3B" w:rsidRDefault="00C15CE3" w:rsidP="00C15CE3">
      <w:pPr>
        <w:tabs>
          <w:tab w:val="left" w:pos="1440"/>
        </w:tabs>
        <w:ind w:right="36"/>
        <w:jc w:val="both"/>
        <w:rPr>
          <w:rFonts w:ascii="Arial" w:eastAsia="Batang" w:hAnsi="Arial" w:cs="Arial"/>
          <w:sz w:val="22"/>
          <w:szCs w:val="22"/>
        </w:rPr>
      </w:pPr>
    </w:p>
    <w:p w:rsidR="00C15CE3" w:rsidRPr="00DB0C3B" w:rsidRDefault="00C15CE3" w:rsidP="00C15CE3">
      <w:pPr>
        <w:jc w:val="both"/>
        <w:rPr>
          <w:rFonts w:ascii="Arial" w:hAnsi="Arial" w:cs="Arial"/>
          <w:sz w:val="22"/>
          <w:szCs w:val="22"/>
        </w:rPr>
      </w:pPr>
      <w:r w:rsidRPr="00DB0C3B">
        <w:rPr>
          <w:rFonts w:ascii="Arial" w:hAnsi="Arial" w:cs="Arial"/>
          <w:sz w:val="22"/>
          <w:szCs w:val="22"/>
        </w:rPr>
        <w:t>NTA is an attached agency of the Department of Agriculture (DA). It has eight Branch Offices, five of which are located in Region I, two in Region II</w:t>
      </w:r>
      <w:r w:rsidR="00F3054A">
        <w:rPr>
          <w:rFonts w:ascii="Arial" w:hAnsi="Arial" w:cs="Arial"/>
          <w:sz w:val="22"/>
          <w:szCs w:val="22"/>
        </w:rPr>
        <w:t>,</w:t>
      </w:r>
      <w:r w:rsidRPr="00DB0C3B">
        <w:rPr>
          <w:rFonts w:ascii="Arial" w:hAnsi="Arial" w:cs="Arial"/>
          <w:sz w:val="22"/>
          <w:szCs w:val="22"/>
        </w:rPr>
        <w:t xml:space="preserve"> and one in the Cordillera Administrative Region (CAR).</w:t>
      </w:r>
    </w:p>
    <w:p w:rsidR="00C15CE3" w:rsidRDefault="00C15CE3" w:rsidP="00C15CE3">
      <w:pPr>
        <w:rPr>
          <w:rFonts w:ascii="Arial" w:hAnsi="Arial" w:cs="Arial"/>
          <w:sz w:val="22"/>
          <w:szCs w:val="22"/>
        </w:rPr>
      </w:pPr>
    </w:p>
    <w:p w:rsidR="00213705" w:rsidRPr="00DB0C3B" w:rsidRDefault="00213705" w:rsidP="00C15CE3">
      <w:pPr>
        <w:rPr>
          <w:rFonts w:ascii="Arial" w:hAnsi="Arial" w:cs="Arial"/>
          <w:sz w:val="22"/>
          <w:szCs w:val="22"/>
        </w:rPr>
      </w:pPr>
    </w:p>
    <w:p w:rsidR="00C15CE3" w:rsidRPr="00F3054A" w:rsidRDefault="00C15CE3" w:rsidP="00C15CE3">
      <w:pPr>
        <w:rPr>
          <w:rFonts w:ascii="Arial" w:hAnsi="Arial" w:cs="Arial"/>
          <w:sz w:val="22"/>
          <w:szCs w:val="22"/>
        </w:rPr>
      </w:pPr>
      <w:r w:rsidRPr="00AF4890">
        <w:rPr>
          <w:rFonts w:ascii="Arial" w:hAnsi="Arial" w:cs="Arial"/>
          <w:b/>
          <w:sz w:val="22"/>
          <w:szCs w:val="22"/>
        </w:rPr>
        <w:t>FINANCIAL HIGHLIGHTS</w:t>
      </w:r>
      <w:r w:rsidR="00F3054A">
        <w:rPr>
          <w:rFonts w:ascii="Arial" w:hAnsi="Arial" w:cs="Arial"/>
          <w:b/>
          <w:sz w:val="22"/>
          <w:szCs w:val="22"/>
        </w:rPr>
        <w:t xml:space="preserve"> </w:t>
      </w:r>
      <w:r w:rsidR="00F3054A">
        <w:rPr>
          <w:rFonts w:ascii="Arial" w:hAnsi="Arial" w:cs="Arial"/>
          <w:sz w:val="22"/>
          <w:szCs w:val="22"/>
        </w:rPr>
        <w:t>(In million pesos)</w:t>
      </w:r>
    </w:p>
    <w:p w:rsidR="00C15CE3" w:rsidRPr="000E32CA" w:rsidRDefault="00C15CE3" w:rsidP="00C15CE3">
      <w:pPr>
        <w:rPr>
          <w:rFonts w:ascii="Arial" w:hAnsi="Arial" w:cs="Arial"/>
          <w:b/>
          <w:sz w:val="20"/>
          <w:szCs w:val="20"/>
        </w:rPr>
      </w:pPr>
    </w:p>
    <w:p w:rsidR="00C15CE3" w:rsidRPr="000E32CA" w:rsidRDefault="00C15CE3" w:rsidP="000E32CA">
      <w:pPr>
        <w:pStyle w:val="ListParagraph"/>
        <w:numPr>
          <w:ilvl w:val="0"/>
          <w:numId w:val="28"/>
        </w:numPr>
        <w:tabs>
          <w:tab w:val="left" w:pos="360"/>
          <w:tab w:val="left" w:pos="540"/>
          <w:tab w:val="left" w:pos="720"/>
        </w:tabs>
        <w:ind w:hanging="1080"/>
        <w:rPr>
          <w:rFonts w:ascii="Arial" w:hAnsi="Arial" w:cs="Arial"/>
          <w:sz w:val="20"/>
          <w:szCs w:val="20"/>
        </w:rPr>
      </w:pPr>
      <w:r w:rsidRPr="000E32CA">
        <w:rPr>
          <w:rFonts w:ascii="Arial" w:hAnsi="Arial" w:cs="Arial"/>
          <w:b/>
          <w:sz w:val="20"/>
          <w:szCs w:val="20"/>
        </w:rPr>
        <w:t>Comparative Financial Position</w:t>
      </w:r>
      <w:r w:rsidR="00F3054A" w:rsidRPr="000E32CA">
        <w:rPr>
          <w:rFonts w:ascii="Arial" w:hAnsi="Arial" w:cs="Arial"/>
          <w:sz w:val="20"/>
          <w:szCs w:val="20"/>
        </w:rPr>
        <w:t xml:space="preserve"> </w:t>
      </w:r>
    </w:p>
    <w:p w:rsidR="000E32CA" w:rsidRPr="000E32CA" w:rsidRDefault="000E32CA" w:rsidP="000E32CA">
      <w:pPr>
        <w:pStyle w:val="ListParagraph"/>
        <w:tabs>
          <w:tab w:val="left" w:pos="360"/>
          <w:tab w:val="left" w:pos="540"/>
          <w:tab w:val="left" w:pos="720"/>
        </w:tabs>
        <w:ind w:left="1080"/>
        <w:rPr>
          <w:rFonts w:ascii="Arial" w:hAnsi="Arial" w:cs="Arial"/>
          <w:sz w:val="20"/>
          <w:szCs w:val="20"/>
        </w:rPr>
      </w:pPr>
    </w:p>
    <w:tbl>
      <w:tblPr>
        <w:tblW w:w="8664" w:type="dxa"/>
        <w:tblInd w:w="108" w:type="dxa"/>
        <w:tblBorders>
          <w:top w:val="single" w:sz="4" w:space="0" w:color="000000"/>
          <w:bottom w:val="double" w:sz="4" w:space="0" w:color="auto"/>
        </w:tblBorders>
        <w:tblLook w:val="04A0" w:firstRow="1" w:lastRow="0" w:firstColumn="1" w:lastColumn="0" w:noHBand="0" w:noVBand="1"/>
      </w:tblPr>
      <w:tblGrid>
        <w:gridCol w:w="2970"/>
        <w:gridCol w:w="2610"/>
        <w:gridCol w:w="1530"/>
        <w:gridCol w:w="1554"/>
      </w:tblGrid>
      <w:tr w:rsidR="00C15CE3" w:rsidRPr="000E32CA" w:rsidTr="00C568BC">
        <w:trPr>
          <w:trHeight w:val="274"/>
        </w:trPr>
        <w:tc>
          <w:tcPr>
            <w:tcW w:w="2970" w:type="dxa"/>
            <w:tcBorders>
              <w:top w:val="single" w:sz="4" w:space="0" w:color="000000"/>
              <w:bottom w:val="single" w:sz="4" w:space="0" w:color="000000"/>
            </w:tcBorders>
            <w:vAlign w:val="center"/>
          </w:tcPr>
          <w:p w:rsidR="00C15CE3" w:rsidRPr="000E32CA" w:rsidRDefault="00C15CE3" w:rsidP="002B6312">
            <w:pPr>
              <w:rPr>
                <w:rFonts w:ascii="Arial" w:hAnsi="Arial" w:cs="Arial"/>
                <w:b/>
                <w:sz w:val="20"/>
                <w:szCs w:val="20"/>
              </w:rPr>
            </w:pPr>
          </w:p>
        </w:tc>
        <w:tc>
          <w:tcPr>
            <w:tcW w:w="2610" w:type="dxa"/>
            <w:tcBorders>
              <w:top w:val="single" w:sz="4" w:space="0" w:color="000000"/>
              <w:bottom w:val="single" w:sz="4" w:space="0" w:color="000000"/>
            </w:tcBorders>
            <w:vAlign w:val="center"/>
          </w:tcPr>
          <w:p w:rsidR="00C15CE3" w:rsidRPr="000E32CA" w:rsidRDefault="00C15CE3" w:rsidP="00622149">
            <w:pPr>
              <w:ind w:left="1242"/>
              <w:jc w:val="center"/>
              <w:rPr>
                <w:rFonts w:ascii="Arial" w:hAnsi="Arial" w:cs="Arial"/>
                <w:b/>
                <w:sz w:val="20"/>
                <w:szCs w:val="20"/>
              </w:rPr>
            </w:pPr>
            <w:r w:rsidRPr="000E32CA">
              <w:rPr>
                <w:rFonts w:ascii="Arial" w:hAnsi="Arial" w:cs="Arial"/>
                <w:b/>
                <w:sz w:val="20"/>
                <w:szCs w:val="20"/>
              </w:rPr>
              <w:t>2013</w:t>
            </w:r>
          </w:p>
        </w:tc>
        <w:tc>
          <w:tcPr>
            <w:tcW w:w="1530" w:type="dxa"/>
            <w:tcBorders>
              <w:top w:val="single" w:sz="4" w:space="0" w:color="000000"/>
              <w:bottom w:val="single" w:sz="4" w:space="0" w:color="000000"/>
            </w:tcBorders>
            <w:vAlign w:val="center"/>
          </w:tcPr>
          <w:p w:rsidR="00C15CE3" w:rsidRPr="000E32CA" w:rsidRDefault="00C15CE3" w:rsidP="002B6312">
            <w:pPr>
              <w:jc w:val="center"/>
              <w:rPr>
                <w:rFonts w:ascii="Arial" w:hAnsi="Arial" w:cs="Arial"/>
                <w:b/>
                <w:sz w:val="20"/>
                <w:szCs w:val="20"/>
              </w:rPr>
            </w:pPr>
            <w:r w:rsidRPr="000E32CA">
              <w:rPr>
                <w:rFonts w:ascii="Arial" w:hAnsi="Arial" w:cs="Arial"/>
                <w:b/>
                <w:sz w:val="20"/>
                <w:szCs w:val="20"/>
              </w:rPr>
              <w:t>2012</w:t>
            </w:r>
          </w:p>
          <w:p w:rsidR="001353D4" w:rsidRPr="000E32CA" w:rsidRDefault="007F5811" w:rsidP="001353D4">
            <w:pPr>
              <w:jc w:val="center"/>
              <w:rPr>
                <w:rFonts w:ascii="Arial" w:hAnsi="Arial" w:cs="Arial"/>
                <w:b/>
                <w:sz w:val="20"/>
                <w:szCs w:val="20"/>
              </w:rPr>
            </w:pPr>
            <w:r w:rsidRPr="000E32CA">
              <w:rPr>
                <w:rFonts w:ascii="Arial" w:hAnsi="Arial" w:cs="Arial"/>
                <w:b/>
                <w:sz w:val="20"/>
                <w:szCs w:val="20"/>
              </w:rPr>
              <w:t>As r</w:t>
            </w:r>
            <w:r w:rsidR="001353D4" w:rsidRPr="000E32CA">
              <w:rPr>
                <w:rFonts w:ascii="Arial" w:hAnsi="Arial" w:cs="Arial"/>
                <w:b/>
                <w:sz w:val="20"/>
                <w:szCs w:val="20"/>
              </w:rPr>
              <w:t>estated</w:t>
            </w:r>
          </w:p>
        </w:tc>
        <w:tc>
          <w:tcPr>
            <w:tcW w:w="1554" w:type="dxa"/>
            <w:tcBorders>
              <w:top w:val="single" w:sz="4" w:space="0" w:color="000000"/>
              <w:bottom w:val="single" w:sz="4" w:space="0" w:color="000000"/>
            </w:tcBorders>
            <w:vAlign w:val="center"/>
          </w:tcPr>
          <w:p w:rsidR="00C15CE3" w:rsidRPr="000E32CA" w:rsidRDefault="00C15CE3" w:rsidP="001A59A1">
            <w:pPr>
              <w:ind w:left="-108" w:right="-90"/>
              <w:jc w:val="right"/>
              <w:rPr>
                <w:rFonts w:ascii="Arial" w:hAnsi="Arial" w:cs="Arial"/>
                <w:b/>
                <w:sz w:val="20"/>
                <w:szCs w:val="20"/>
              </w:rPr>
            </w:pPr>
            <w:r w:rsidRPr="000E32CA">
              <w:rPr>
                <w:rFonts w:ascii="Arial" w:hAnsi="Arial" w:cs="Arial"/>
                <w:b/>
                <w:sz w:val="20"/>
                <w:szCs w:val="20"/>
              </w:rPr>
              <w:t>Increase</w:t>
            </w:r>
          </w:p>
          <w:p w:rsidR="00C15CE3" w:rsidRPr="000E32CA" w:rsidRDefault="00C15CE3" w:rsidP="001A59A1">
            <w:pPr>
              <w:ind w:left="-108" w:right="-84"/>
              <w:jc w:val="right"/>
              <w:rPr>
                <w:rFonts w:ascii="Arial" w:hAnsi="Arial" w:cs="Arial"/>
                <w:b/>
                <w:sz w:val="20"/>
                <w:szCs w:val="20"/>
              </w:rPr>
            </w:pPr>
            <w:r w:rsidRPr="000E32CA">
              <w:rPr>
                <w:rFonts w:ascii="Arial" w:hAnsi="Arial" w:cs="Arial"/>
                <w:b/>
                <w:sz w:val="20"/>
                <w:szCs w:val="20"/>
              </w:rPr>
              <w:t>(Decrease)</w:t>
            </w:r>
          </w:p>
        </w:tc>
      </w:tr>
      <w:tr w:rsidR="00C15CE3" w:rsidRPr="000E32CA" w:rsidTr="00C568BC">
        <w:trPr>
          <w:trHeight w:val="692"/>
        </w:trPr>
        <w:tc>
          <w:tcPr>
            <w:tcW w:w="2970" w:type="dxa"/>
            <w:tcBorders>
              <w:top w:val="single" w:sz="4" w:space="0" w:color="000000"/>
              <w:bottom w:val="single" w:sz="4" w:space="0" w:color="000000"/>
            </w:tcBorders>
            <w:vAlign w:val="center"/>
          </w:tcPr>
          <w:p w:rsidR="00C15CE3" w:rsidRPr="000E32CA" w:rsidRDefault="00C15CE3" w:rsidP="001A59A1">
            <w:pPr>
              <w:ind w:left="-108"/>
              <w:rPr>
                <w:rFonts w:ascii="Arial" w:hAnsi="Arial" w:cs="Arial"/>
                <w:sz w:val="20"/>
                <w:szCs w:val="20"/>
              </w:rPr>
            </w:pPr>
            <w:r w:rsidRPr="000E32CA">
              <w:rPr>
                <w:rFonts w:ascii="Arial" w:hAnsi="Arial" w:cs="Arial"/>
                <w:sz w:val="20"/>
                <w:szCs w:val="20"/>
              </w:rPr>
              <w:t>Total Assets</w:t>
            </w:r>
          </w:p>
          <w:p w:rsidR="00C15CE3" w:rsidRPr="000E32CA" w:rsidRDefault="00C15CE3" w:rsidP="001A59A1">
            <w:pPr>
              <w:ind w:left="-108"/>
              <w:rPr>
                <w:rFonts w:ascii="Arial" w:hAnsi="Arial" w:cs="Arial"/>
                <w:sz w:val="20"/>
                <w:szCs w:val="20"/>
              </w:rPr>
            </w:pPr>
            <w:r w:rsidRPr="000E32CA">
              <w:rPr>
                <w:rFonts w:ascii="Arial" w:hAnsi="Arial" w:cs="Arial"/>
                <w:sz w:val="20"/>
                <w:szCs w:val="20"/>
              </w:rPr>
              <w:t>Total Liabilities</w:t>
            </w:r>
          </w:p>
        </w:tc>
        <w:tc>
          <w:tcPr>
            <w:tcW w:w="2610" w:type="dxa"/>
            <w:tcBorders>
              <w:top w:val="single" w:sz="4" w:space="0" w:color="000000"/>
              <w:bottom w:val="single" w:sz="4" w:space="0" w:color="000000"/>
            </w:tcBorders>
            <w:vAlign w:val="center"/>
          </w:tcPr>
          <w:p w:rsidR="00C15CE3" w:rsidRPr="000E32CA" w:rsidRDefault="00C15CE3" w:rsidP="00622149">
            <w:pPr>
              <w:ind w:left="889" w:right="252"/>
              <w:jc w:val="right"/>
              <w:rPr>
                <w:rFonts w:ascii="Arial" w:hAnsi="Arial" w:cs="Arial"/>
                <w:sz w:val="20"/>
                <w:szCs w:val="20"/>
              </w:rPr>
            </w:pPr>
            <w:r w:rsidRPr="000E32CA">
              <w:rPr>
                <w:rFonts w:ascii="Arial" w:hAnsi="Arial" w:cs="Arial"/>
                <w:sz w:val="20"/>
                <w:szCs w:val="20"/>
              </w:rPr>
              <w:t>1,208.86</w:t>
            </w:r>
            <w:r w:rsidR="007D3A04" w:rsidRPr="000E32CA">
              <w:rPr>
                <w:rFonts w:ascii="Arial" w:hAnsi="Arial" w:cs="Arial"/>
                <w:sz w:val="20"/>
                <w:szCs w:val="20"/>
              </w:rPr>
              <w:t>6</w:t>
            </w:r>
          </w:p>
          <w:p w:rsidR="00C15CE3" w:rsidRPr="000E32CA" w:rsidRDefault="00C15CE3" w:rsidP="00622149">
            <w:pPr>
              <w:ind w:left="889" w:right="252"/>
              <w:jc w:val="right"/>
              <w:rPr>
                <w:rFonts w:ascii="Arial" w:hAnsi="Arial" w:cs="Arial"/>
                <w:sz w:val="20"/>
                <w:szCs w:val="20"/>
              </w:rPr>
            </w:pPr>
            <w:r w:rsidRPr="000E32CA">
              <w:rPr>
                <w:rFonts w:ascii="Arial" w:hAnsi="Arial" w:cs="Arial"/>
                <w:sz w:val="20"/>
                <w:szCs w:val="20"/>
              </w:rPr>
              <w:t>121.10</w:t>
            </w:r>
            <w:r w:rsidR="00BC7482" w:rsidRPr="000E32CA">
              <w:rPr>
                <w:rFonts w:ascii="Arial" w:hAnsi="Arial" w:cs="Arial"/>
                <w:sz w:val="20"/>
                <w:szCs w:val="20"/>
              </w:rPr>
              <w:t>2</w:t>
            </w:r>
          </w:p>
        </w:tc>
        <w:tc>
          <w:tcPr>
            <w:tcW w:w="1530" w:type="dxa"/>
            <w:tcBorders>
              <w:top w:val="single" w:sz="4" w:space="0" w:color="000000"/>
              <w:bottom w:val="single" w:sz="4" w:space="0" w:color="000000"/>
            </w:tcBorders>
            <w:vAlign w:val="center"/>
          </w:tcPr>
          <w:p w:rsidR="00C15CE3" w:rsidRPr="000E32CA" w:rsidRDefault="001353D4" w:rsidP="00622149">
            <w:pPr>
              <w:ind w:right="72"/>
              <w:jc w:val="right"/>
              <w:rPr>
                <w:rFonts w:ascii="Arial" w:hAnsi="Arial" w:cs="Arial"/>
                <w:sz w:val="20"/>
                <w:szCs w:val="20"/>
              </w:rPr>
            </w:pPr>
            <w:r w:rsidRPr="000E32CA">
              <w:rPr>
                <w:rFonts w:ascii="Arial" w:hAnsi="Arial" w:cs="Arial"/>
                <w:sz w:val="20"/>
                <w:szCs w:val="20"/>
              </w:rPr>
              <w:t>1,087</w:t>
            </w:r>
            <w:r w:rsidR="00C15CE3" w:rsidRPr="000E32CA">
              <w:rPr>
                <w:rFonts w:ascii="Arial" w:hAnsi="Arial" w:cs="Arial"/>
                <w:sz w:val="20"/>
                <w:szCs w:val="20"/>
              </w:rPr>
              <w:t>.</w:t>
            </w:r>
            <w:r w:rsidR="00ED1871" w:rsidRPr="000E32CA">
              <w:rPr>
                <w:rFonts w:ascii="Arial" w:hAnsi="Arial" w:cs="Arial"/>
                <w:sz w:val="20"/>
                <w:szCs w:val="20"/>
              </w:rPr>
              <w:t>302</w:t>
            </w:r>
          </w:p>
          <w:p w:rsidR="00C15CE3" w:rsidRPr="000E32CA" w:rsidRDefault="00C15CE3" w:rsidP="002C23F0">
            <w:pPr>
              <w:ind w:right="72"/>
              <w:jc w:val="right"/>
              <w:rPr>
                <w:rFonts w:ascii="Arial" w:hAnsi="Arial" w:cs="Arial"/>
                <w:sz w:val="20"/>
                <w:szCs w:val="20"/>
              </w:rPr>
            </w:pPr>
            <w:r w:rsidRPr="000E32CA">
              <w:rPr>
                <w:rFonts w:ascii="Arial" w:hAnsi="Arial" w:cs="Arial"/>
                <w:sz w:val="20"/>
                <w:szCs w:val="20"/>
              </w:rPr>
              <w:t>1</w:t>
            </w:r>
            <w:r w:rsidR="00BC7482" w:rsidRPr="000E32CA">
              <w:rPr>
                <w:rFonts w:ascii="Arial" w:hAnsi="Arial" w:cs="Arial"/>
                <w:sz w:val="20"/>
                <w:szCs w:val="20"/>
              </w:rPr>
              <w:t>18.0</w:t>
            </w:r>
            <w:r w:rsidR="002C23F0" w:rsidRPr="000E32CA">
              <w:rPr>
                <w:rFonts w:ascii="Arial" w:hAnsi="Arial" w:cs="Arial"/>
                <w:sz w:val="20"/>
                <w:szCs w:val="20"/>
              </w:rPr>
              <w:t>82</w:t>
            </w:r>
          </w:p>
        </w:tc>
        <w:tc>
          <w:tcPr>
            <w:tcW w:w="1554" w:type="dxa"/>
            <w:tcBorders>
              <w:top w:val="single" w:sz="4" w:space="0" w:color="000000"/>
              <w:bottom w:val="single" w:sz="4" w:space="0" w:color="000000"/>
            </w:tcBorders>
            <w:vAlign w:val="center"/>
          </w:tcPr>
          <w:p w:rsidR="00C15CE3" w:rsidRPr="000E32CA" w:rsidRDefault="001353D4" w:rsidP="001A59A1">
            <w:pPr>
              <w:ind w:right="-84"/>
              <w:jc w:val="right"/>
              <w:rPr>
                <w:rFonts w:ascii="Arial" w:hAnsi="Arial" w:cs="Arial"/>
                <w:sz w:val="20"/>
                <w:szCs w:val="20"/>
              </w:rPr>
            </w:pPr>
            <w:r w:rsidRPr="000E32CA">
              <w:rPr>
                <w:rFonts w:ascii="Arial" w:hAnsi="Arial" w:cs="Arial"/>
                <w:sz w:val="20"/>
                <w:szCs w:val="20"/>
              </w:rPr>
              <w:t>121.</w:t>
            </w:r>
            <w:r w:rsidR="00ED1871" w:rsidRPr="000E32CA">
              <w:rPr>
                <w:rFonts w:ascii="Arial" w:hAnsi="Arial" w:cs="Arial"/>
                <w:sz w:val="20"/>
                <w:szCs w:val="20"/>
              </w:rPr>
              <w:t>564</w:t>
            </w:r>
          </w:p>
          <w:p w:rsidR="00C15CE3" w:rsidRPr="000E32CA" w:rsidRDefault="00C15CE3" w:rsidP="001A59A1">
            <w:pPr>
              <w:ind w:right="-84"/>
              <w:jc w:val="right"/>
              <w:rPr>
                <w:rFonts w:ascii="Arial" w:hAnsi="Arial" w:cs="Arial"/>
                <w:sz w:val="20"/>
                <w:szCs w:val="20"/>
              </w:rPr>
            </w:pPr>
            <w:r w:rsidRPr="000E32CA">
              <w:rPr>
                <w:rFonts w:ascii="Arial" w:hAnsi="Arial" w:cs="Arial"/>
                <w:sz w:val="20"/>
                <w:szCs w:val="20"/>
              </w:rPr>
              <w:t xml:space="preserve"> </w:t>
            </w:r>
            <w:r w:rsidR="00E51D24" w:rsidRPr="000E32CA">
              <w:rPr>
                <w:rFonts w:ascii="Arial" w:hAnsi="Arial" w:cs="Arial"/>
                <w:sz w:val="20"/>
                <w:szCs w:val="20"/>
              </w:rPr>
              <w:t>3.020</w:t>
            </w:r>
          </w:p>
        </w:tc>
      </w:tr>
      <w:tr w:rsidR="00C15CE3" w:rsidRPr="000E32CA" w:rsidTr="00C568BC">
        <w:trPr>
          <w:trHeight w:val="269"/>
        </w:trPr>
        <w:tc>
          <w:tcPr>
            <w:tcW w:w="2970" w:type="dxa"/>
            <w:tcBorders>
              <w:top w:val="single" w:sz="4" w:space="0" w:color="000000"/>
            </w:tcBorders>
            <w:vAlign w:val="center"/>
          </w:tcPr>
          <w:p w:rsidR="00C15CE3" w:rsidRPr="000E32CA" w:rsidRDefault="00C568BC" w:rsidP="00C568BC">
            <w:pPr>
              <w:ind w:hanging="108"/>
              <w:rPr>
                <w:rFonts w:ascii="Arial" w:hAnsi="Arial" w:cs="Arial"/>
                <w:sz w:val="20"/>
                <w:szCs w:val="20"/>
              </w:rPr>
            </w:pPr>
            <w:r w:rsidRPr="000E32CA">
              <w:rPr>
                <w:rFonts w:ascii="Arial" w:hAnsi="Arial" w:cs="Arial"/>
                <w:sz w:val="20"/>
                <w:szCs w:val="20"/>
              </w:rPr>
              <w:t>Net Worth</w:t>
            </w:r>
          </w:p>
        </w:tc>
        <w:tc>
          <w:tcPr>
            <w:tcW w:w="2610" w:type="dxa"/>
            <w:tcBorders>
              <w:top w:val="single" w:sz="4" w:space="0" w:color="000000"/>
            </w:tcBorders>
            <w:vAlign w:val="center"/>
          </w:tcPr>
          <w:p w:rsidR="00C15CE3" w:rsidRPr="000E32CA" w:rsidRDefault="00C15CE3" w:rsidP="00622149">
            <w:pPr>
              <w:ind w:left="889" w:right="252"/>
              <w:jc w:val="right"/>
              <w:rPr>
                <w:rFonts w:ascii="Arial" w:hAnsi="Arial" w:cs="Arial"/>
                <w:sz w:val="20"/>
                <w:szCs w:val="20"/>
              </w:rPr>
            </w:pPr>
            <w:r w:rsidRPr="000E32CA">
              <w:rPr>
                <w:rFonts w:ascii="Arial" w:hAnsi="Arial" w:cs="Arial"/>
                <w:sz w:val="20"/>
                <w:szCs w:val="20"/>
              </w:rPr>
              <w:t>1,087.764</w:t>
            </w:r>
          </w:p>
        </w:tc>
        <w:tc>
          <w:tcPr>
            <w:tcW w:w="1530" w:type="dxa"/>
            <w:tcBorders>
              <w:top w:val="single" w:sz="4" w:space="0" w:color="000000"/>
            </w:tcBorders>
            <w:vAlign w:val="center"/>
          </w:tcPr>
          <w:p w:rsidR="00C15CE3" w:rsidRPr="000E32CA" w:rsidRDefault="001353D4" w:rsidP="00622149">
            <w:pPr>
              <w:ind w:right="72"/>
              <w:jc w:val="right"/>
              <w:rPr>
                <w:rFonts w:ascii="Arial" w:hAnsi="Arial" w:cs="Arial"/>
                <w:sz w:val="20"/>
                <w:szCs w:val="20"/>
              </w:rPr>
            </w:pPr>
            <w:r w:rsidRPr="000E32CA">
              <w:rPr>
                <w:rFonts w:ascii="Arial" w:hAnsi="Arial" w:cs="Arial"/>
                <w:sz w:val="20"/>
                <w:szCs w:val="20"/>
              </w:rPr>
              <w:t>96</w:t>
            </w:r>
            <w:r w:rsidR="00BC7482" w:rsidRPr="000E32CA">
              <w:rPr>
                <w:rFonts w:ascii="Arial" w:hAnsi="Arial" w:cs="Arial"/>
                <w:sz w:val="20"/>
                <w:szCs w:val="20"/>
              </w:rPr>
              <w:t>9.</w:t>
            </w:r>
            <w:r w:rsidR="00ED1871" w:rsidRPr="000E32CA">
              <w:rPr>
                <w:rFonts w:ascii="Arial" w:hAnsi="Arial" w:cs="Arial"/>
                <w:sz w:val="20"/>
                <w:szCs w:val="20"/>
              </w:rPr>
              <w:t>220</w:t>
            </w:r>
          </w:p>
        </w:tc>
        <w:tc>
          <w:tcPr>
            <w:tcW w:w="1554" w:type="dxa"/>
            <w:tcBorders>
              <w:top w:val="single" w:sz="4" w:space="0" w:color="000000"/>
            </w:tcBorders>
            <w:vAlign w:val="center"/>
          </w:tcPr>
          <w:p w:rsidR="00C15CE3" w:rsidRPr="000E32CA" w:rsidRDefault="001353D4" w:rsidP="001A59A1">
            <w:pPr>
              <w:ind w:right="-84"/>
              <w:jc w:val="right"/>
              <w:rPr>
                <w:rFonts w:ascii="Arial" w:hAnsi="Arial" w:cs="Arial"/>
                <w:sz w:val="20"/>
                <w:szCs w:val="20"/>
              </w:rPr>
            </w:pPr>
            <w:r w:rsidRPr="000E32CA">
              <w:rPr>
                <w:rFonts w:ascii="Arial" w:hAnsi="Arial" w:cs="Arial"/>
                <w:sz w:val="20"/>
                <w:szCs w:val="20"/>
              </w:rPr>
              <w:t>1</w:t>
            </w:r>
            <w:r w:rsidR="002C23F0" w:rsidRPr="000E32CA">
              <w:rPr>
                <w:rFonts w:ascii="Arial" w:hAnsi="Arial" w:cs="Arial"/>
                <w:sz w:val="20"/>
                <w:szCs w:val="20"/>
              </w:rPr>
              <w:t>18.</w:t>
            </w:r>
            <w:r w:rsidR="00E51D24" w:rsidRPr="000E32CA">
              <w:rPr>
                <w:rFonts w:ascii="Arial" w:hAnsi="Arial" w:cs="Arial"/>
                <w:sz w:val="20"/>
                <w:szCs w:val="20"/>
              </w:rPr>
              <w:t>544</w:t>
            </w:r>
          </w:p>
        </w:tc>
      </w:tr>
    </w:tbl>
    <w:p w:rsidR="00C15CE3" w:rsidRPr="000E32CA" w:rsidRDefault="00C15CE3" w:rsidP="00C15CE3">
      <w:pPr>
        <w:rPr>
          <w:rFonts w:ascii="Arial" w:hAnsi="Arial" w:cs="Arial"/>
          <w:sz w:val="20"/>
          <w:szCs w:val="20"/>
        </w:rPr>
      </w:pPr>
    </w:p>
    <w:p w:rsidR="00C15CE3" w:rsidRPr="000E32CA" w:rsidRDefault="00C15CE3" w:rsidP="000E32CA">
      <w:pPr>
        <w:pStyle w:val="ListParagraph"/>
        <w:numPr>
          <w:ilvl w:val="0"/>
          <w:numId w:val="28"/>
        </w:numPr>
        <w:tabs>
          <w:tab w:val="left" w:pos="360"/>
          <w:tab w:val="left" w:pos="540"/>
          <w:tab w:val="left" w:pos="720"/>
        </w:tabs>
        <w:ind w:hanging="1080"/>
        <w:rPr>
          <w:rFonts w:ascii="Arial" w:hAnsi="Arial" w:cs="Arial"/>
          <w:sz w:val="20"/>
          <w:szCs w:val="20"/>
        </w:rPr>
      </w:pPr>
      <w:r w:rsidRPr="000E32CA">
        <w:rPr>
          <w:rFonts w:ascii="Arial" w:hAnsi="Arial" w:cs="Arial"/>
          <w:b/>
          <w:sz w:val="20"/>
          <w:szCs w:val="20"/>
        </w:rPr>
        <w:t>Results of Operations</w:t>
      </w:r>
      <w:r w:rsidR="00F3054A" w:rsidRPr="000E32CA">
        <w:rPr>
          <w:rFonts w:ascii="Arial" w:hAnsi="Arial" w:cs="Arial"/>
          <w:sz w:val="20"/>
          <w:szCs w:val="20"/>
        </w:rPr>
        <w:t xml:space="preserve"> </w:t>
      </w:r>
    </w:p>
    <w:p w:rsidR="000E32CA" w:rsidRPr="000E32CA" w:rsidRDefault="000E32CA" w:rsidP="000E32CA">
      <w:pPr>
        <w:pStyle w:val="ListParagraph"/>
        <w:tabs>
          <w:tab w:val="left" w:pos="360"/>
          <w:tab w:val="left" w:pos="540"/>
          <w:tab w:val="left" w:pos="720"/>
        </w:tabs>
        <w:ind w:left="1080"/>
        <w:rPr>
          <w:rFonts w:ascii="Arial" w:hAnsi="Arial" w:cs="Arial"/>
          <w:sz w:val="20"/>
          <w:szCs w:val="20"/>
        </w:rPr>
      </w:pPr>
    </w:p>
    <w:tbl>
      <w:tblPr>
        <w:tblW w:w="8640" w:type="dxa"/>
        <w:tblInd w:w="108" w:type="dxa"/>
        <w:tblBorders>
          <w:top w:val="single" w:sz="4" w:space="0" w:color="000000"/>
          <w:bottom w:val="double" w:sz="4" w:space="0" w:color="auto"/>
        </w:tblBorders>
        <w:tblLook w:val="04A0" w:firstRow="1" w:lastRow="0" w:firstColumn="1" w:lastColumn="0" w:noHBand="0" w:noVBand="1"/>
      </w:tblPr>
      <w:tblGrid>
        <w:gridCol w:w="4050"/>
        <w:gridCol w:w="1530"/>
        <w:gridCol w:w="1530"/>
        <w:gridCol w:w="1530"/>
      </w:tblGrid>
      <w:tr w:rsidR="00C15CE3" w:rsidRPr="000E32CA" w:rsidTr="00654727">
        <w:trPr>
          <w:trHeight w:val="278"/>
        </w:trPr>
        <w:tc>
          <w:tcPr>
            <w:tcW w:w="4050" w:type="dxa"/>
            <w:tcBorders>
              <w:top w:val="single" w:sz="4" w:space="0" w:color="000000"/>
              <w:bottom w:val="single" w:sz="4" w:space="0" w:color="000000"/>
            </w:tcBorders>
            <w:vAlign w:val="center"/>
          </w:tcPr>
          <w:p w:rsidR="00C15CE3" w:rsidRPr="000E32CA" w:rsidRDefault="00C15CE3" w:rsidP="002B6312">
            <w:pPr>
              <w:rPr>
                <w:rFonts w:ascii="Arial" w:hAnsi="Arial" w:cs="Arial"/>
                <w:sz w:val="20"/>
                <w:szCs w:val="20"/>
              </w:rPr>
            </w:pPr>
          </w:p>
        </w:tc>
        <w:tc>
          <w:tcPr>
            <w:tcW w:w="1530" w:type="dxa"/>
            <w:tcBorders>
              <w:top w:val="single" w:sz="4" w:space="0" w:color="000000"/>
              <w:bottom w:val="single" w:sz="4" w:space="0" w:color="000000"/>
            </w:tcBorders>
            <w:vAlign w:val="center"/>
          </w:tcPr>
          <w:p w:rsidR="00C15CE3" w:rsidRPr="000E32CA" w:rsidRDefault="00C15CE3" w:rsidP="001353D4">
            <w:pPr>
              <w:ind w:left="152" w:right="147"/>
              <w:jc w:val="center"/>
              <w:rPr>
                <w:rFonts w:ascii="Arial" w:hAnsi="Arial" w:cs="Arial"/>
                <w:b/>
                <w:sz w:val="20"/>
                <w:szCs w:val="20"/>
              </w:rPr>
            </w:pPr>
            <w:r w:rsidRPr="000E32CA">
              <w:rPr>
                <w:rFonts w:ascii="Arial" w:hAnsi="Arial" w:cs="Arial"/>
                <w:b/>
                <w:sz w:val="20"/>
                <w:szCs w:val="20"/>
              </w:rPr>
              <w:t>2013</w:t>
            </w:r>
          </w:p>
        </w:tc>
        <w:tc>
          <w:tcPr>
            <w:tcW w:w="1530" w:type="dxa"/>
            <w:tcBorders>
              <w:top w:val="single" w:sz="4" w:space="0" w:color="000000"/>
              <w:bottom w:val="single" w:sz="4" w:space="0" w:color="000000"/>
            </w:tcBorders>
            <w:vAlign w:val="center"/>
          </w:tcPr>
          <w:p w:rsidR="00C15CE3" w:rsidRPr="000E32CA" w:rsidRDefault="00C15CE3" w:rsidP="001353D4">
            <w:pPr>
              <w:ind w:left="87" w:right="-18"/>
              <w:jc w:val="center"/>
              <w:rPr>
                <w:rFonts w:ascii="Arial" w:hAnsi="Arial" w:cs="Arial"/>
                <w:b/>
                <w:sz w:val="20"/>
                <w:szCs w:val="20"/>
              </w:rPr>
            </w:pPr>
            <w:r w:rsidRPr="000E32CA">
              <w:rPr>
                <w:rFonts w:ascii="Arial" w:hAnsi="Arial" w:cs="Arial"/>
                <w:b/>
                <w:sz w:val="20"/>
                <w:szCs w:val="20"/>
              </w:rPr>
              <w:t>2012</w:t>
            </w:r>
          </w:p>
          <w:p w:rsidR="001353D4" w:rsidRPr="000E32CA" w:rsidRDefault="007F5811" w:rsidP="00654727">
            <w:pPr>
              <w:ind w:left="-18" w:right="-18"/>
              <w:jc w:val="center"/>
              <w:rPr>
                <w:rFonts w:ascii="Arial" w:hAnsi="Arial" w:cs="Arial"/>
                <w:b/>
                <w:sz w:val="20"/>
                <w:szCs w:val="20"/>
              </w:rPr>
            </w:pPr>
            <w:r w:rsidRPr="000E32CA">
              <w:rPr>
                <w:rFonts w:ascii="Arial" w:hAnsi="Arial" w:cs="Arial"/>
                <w:b/>
                <w:sz w:val="20"/>
                <w:szCs w:val="20"/>
              </w:rPr>
              <w:t>As r</w:t>
            </w:r>
            <w:r w:rsidR="001353D4" w:rsidRPr="000E32CA">
              <w:rPr>
                <w:rFonts w:ascii="Arial" w:hAnsi="Arial" w:cs="Arial"/>
                <w:b/>
                <w:sz w:val="20"/>
                <w:szCs w:val="20"/>
              </w:rPr>
              <w:t>estated</w:t>
            </w:r>
          </w:p>
        </w:tc>
        <w:tc>
          <w:tcPr>
            <w:tcW w:w="1530" w:type="dxa"/>
            <w:tcBorders>
              <w:top w:val="single" w:sz="4" w:space="0" w:color="000000"/>
              <w:bottom w:val="single" w:sz="4" w:space="0" w:color="000000"/>
            </w:tcBorders>
            <w:vAlign w:val="center"/>
          </w:tcPr>
          <w:p w:rsidR="00C15CE3" w:rsidRPr="000E32CA" w:rsidRDefault="00C15CE3" w:rsidP="001A59A1">
            <w:pPr>
              <w:ind w:left="-108" w:right="-90"/>
              <w:jc w:val="right"/>
              <w:rPr>
                <w:rFonts w:ascii="Arial" w:hAnsi="Arial" w:cs="Arial"/>
                <w:b/>
                <w:sz w:val="20"/>
                <w:szCs w:val="20"/>
              </w:rPr>
            </w:pPr>
            <w:r w:rsidRPr="000E32CA">
              <w:rPr>
                <w:rFonts w:ascii="Arial" w:hAnsi="Arial" w:cs="Arial"/>
                <w:b/>
                <w:sz w:val="20"/>
                <w:szCs w:val="20"/>
              </w:rPr>
              <w:t>Increase    (Decrease)</w:t>
            </w:r>
          </w:p>
        </w:tc>
      </w:tr>
      <w:tr w:rsidR="00C15CE3" w:rsidRPr="000E32CA" w:rsidTr="00654727">
        <w:trPr>
          <w:trHeight w:val="710"/>
        </w:trPr>
        <w:tc>
          <w:tcPr>
            <w:tcW w:w="4050" w:type="dxa"/>
            <w:tcBorders>
              <w:top w:val="single" w:sz="4" w:space="0" w:color="000000"/>
              <w:bottom w:val="single" w:sz="4" w:space="0" w:color="000000"/>
            </w:tcBorders>
            <w:vAlign w:val="center"/>
          </w:tcPr>
          <w:p w:rsidR="00C15CE3" w:rsidRPr="000E32CA" w:rsidRDefault="00C15CE3" w:rsidP="001A59A1">
            <w:pPr>
              <w:ind w:left="-108"/>
              <w:rPr>
                <w:rFonts w:ascii="Arial" w:hAnsi="Arial" w:cs="Arial"/>
                <w:sz w:val="20"/>
                <w:szCs w:val="20"/>
              </w:rPr>
            </w:pPr>
            <w:r w:rsidRPr="000E32CA">
              <w:rPr>
                <w:rFonts w:ascii="Arial" w:hAnsi="Arial" w:cs="Arial"/>
                <w:sz w:val="20"/>
                <w:szCs w:val="20"/>
              </w:rPr>
              <w:t>Total Revenues</w:t>
            </w:r>
          </w:p>
          <w:p w:rsidR="00C15CE3" w:rsidRPr="000E32CA" w:rsidRDefault="00C15CE3" w:rsidP="001A59A1">
            <w:pPr>
              <w:ind w:left="-108"/>
              <w:rPr>
                <w:rFonts w:ascii="Arial" w:hAnsi="Arial" w:cs="Arial"/>
                <w:sz w:val="20"/>
                <w:szCs w:val="20"/>
              </w:rPr>
            </w:pPr>
            <w:r w:rsidRPr="000E32CA">
              <w:rPr>
                <w:rFonts w:ascii="Arial" w:hAnsi="Arial" w:cs="Arial"/>
                <w:sz w:val="20"/>
                <w:szCs w:val="20"/>
              </w:rPr>
              <w:t>Total Expenditures</w:t>
            </w:r>
          </w:p>
        </w:tc>
        <w:tc>
          <w:tcPr>
            <w:tcW w:w="1530" w:type="dxa"/>
            <w:tcBorders>
              <w:top w:val="single" w:sz="4" w:space="0" w:color="000000"/>
              <w:bottom w:val="single" w:sz="4" w:space="0" w:color="000000"/>
            </w:tcBorders>
            <w:vAlign w:val="center"/>
          </w:tcPr>
          <w:p w:rsidR="00C15CE3" w:rsidRPr="000E32CA" w:rsidRDefault="00C15CE3" w:rsidP="00622149">
            <w:pPr>
              <w:ind w:right="252"/>
              <w:jc w:val="right"/>
              <w:rPr>
                <w:rFonts w:ascii="Arial" w:hAnsi="Arial" w:cs="Arial"/>
                <w:sz w:val="20"/>
                <w:szCs w:val="20"/>
              </w:rPr>
            </w:pPr>
            <w:r w:rsidRPr="000E32CA">
              <w:rPr>
                <w:rFonts w:ascii="Arial" w:hAnsi="Arial" w:cs="Arial"/>
                <w:sz w:val="20"/>
                <w:szCs w:val="20"/>
              </w:rPr>
              <w:t>1</w:t>
            </w:r>
            <w:r w:rsidR="007B391A" w:rsidRPr="000E32CA">
              <w:rPr>
                <w:rFonts w:ascii="Arial" w:hAnsi="Arial" w:cs="Arial"/>
                <w:sz w:val="20"/>
                <w:szCs w:val="20"/>
              </w:rPr>
              <w:t>15.30</w:t>
            </w:r>
            <w:r w:rsidR="00BC7482" w:rsidRPr="000E32CA">
              <w:rPr>
                <w:rFonts w:ascii="Arial" w:hAnsi="Arial" w:cs="Arial"/>
                <w:sz w:val="20"/>
                <w:szCs w:val="20"/>
              </w:rPr>
              <w:t>5</w:t>
            </w:r>
          </w:p>
          <w:p w:rsidR="00C15CE3" w:rsidRPr="000E32CA" w:rsidRDefault="00C15CE3" w:rsidP="00622149">
            <w:pPr>
              <w:ind w:right="252"/>
              <w:jc w:val="right"/>
              <w:rPr>
                <w:rFonts w:ascii="Arial" w:hAnsi="Arial" w:cs="Arial"/>
                <w:sz w:val="20"/>
                <w:szCs w:val="20"/>
              </w:rPr>
            </w:pPr>
            <w:r w:rsidRPr="000E32CA">
              <w:rPr>
                <w:rFonts w:ascii="Arial" w:hAnsi="Arial" w:cs="Arial"/>
                <w:sz w:val="20"/>
                <w:szCs w:val="20"/>
              </w:rPr>
              <w:t>2</w:t>
            </w:r>
            <w:r w:rsidR="007B391A" w:rsidRPr="000E32CA">
              <w:rPr>
                <w:rFonts w:ascii="Arial" w:hAnsi="Arial" w:cs="Arial"/>
                <w:sz w:val="20"/>
                <w:szCs w:val="20"/>
              </w:rPr>
              <w:t>67.96</w:t>
            </w:r>
            <w:r w:rsidR="00BC7482" w:rsidRPr="000E32CA">
              <w:rPr>
                <w:rFonts w:ascii="Arial" w:hAnsi="Arial" w:cs="Arial"/>
                <w:sz w:val="20"/>
                <w:szCs w:val="20"/>
              </w:rPr>
              <w:t>1</w:t>
            </w:r>
          </w:p>
        </w:tc>
        <w:tc>
          <w:tcPr>
            <w:tcW w:w="1530" w:type="dxa"/>
            <w:tcBorders>
              <w:top w:val="single" w:sz="4" w:space="0" w:color="000000"/>
              <w:bottom w:val="single" w:sz="4" w:space="0" w:color="000000"/>
            </w:tcBorders>
            <w:vAlign w:val="center"/>
          </w:tcPr>
          <w:p w:rsidR="00C15CE3" w:rsidRPr="000E32CA" w:rsidRDefault="00C15CE3" w:rsidP="00622149">
            <w:pPr>
              <w:ind w:right="72"/>
              <w:jc w:val="right"/>
              <w:rPr>
                <w:rFonts w:ascii="Arial" w:hAnsi="Arial" w:cs="Arial"/>
                <w:sz w:val="20"/>
                <w:szCs w:val="20"/>
              </w:rPr>
            </w:pPr>
            <w:r w:rsidRPr="000E32CA">
              <w:rPr>
                <w:rFonts w:ascii="Arial" w:hAnsi="Arial" w:cs="Arial"/>
                <w:sz w:val="20"/>
                <w:szCs w:val="20"/>
              </w:rPr>
              <w:t>10</w:t>
            </w:r>
            <w:r w:rsidR="00BC7482" w:rsidRPr="000E32CA">
              <w:rPr>
                <w:rFonts w:ascii="Arial" w:hAnsi="Arial" w:cs="Arial"/>
                <w:sz w:val="20"/>
                <w:szCs w:val="20"/>
              </w:rPr>
              <w:t>7.422</w:t>
            </w:r>
          </w:p>
          <w:p w:rsidR="00C15CE3" w:rsidRPr="000E32CA" w:rsidRDefault="007B391A" w:rsidP="00C568BC">
            <w:pPr>
              <w:ind w:right="72"/>
              <w:jc w:val="right"/>
              <w:rPr>
                <w:rFonts w:ascii="Arial" w:hAnsi="Arial" w:cs="Arial"/>
                <w:sz w:val="20"/>
                <w:szCs w:val="20"/>
              </w:rPr>
            </w:pPr>
            <w:r w:rsidRPr="000E32CA">
              <w:rPr>
                <w:rFonts w:ascii="Arial" w:hAnsi="Arial" w:cs="Arial"/>
                <w:sz w:val="20"/>
                <w:szCs w:val="20"/>
              </w:rPr>
              <w:t>3</w:t>
            </w:r>
            <w:r w:rsidR="00BC7482" w:rsidRPr="000E32CA">
              <w:rPr>
                <w:rFonts w:ascii="Arial" w:hAnsi="Arial" w:cs="Arial"/>
                <w:sz w:val="20"/>
                <w:szCs w:val="20"/>
              </w:rPr>
              <w:t>47.9</w:t>
            </w:r>
            <w:r w:rsidR="001A59A1" w:rsidRPr="000E32CA">
              <w:rPr>
                <w:rFonts w:ascii="Arial" w:hAnsi="Arial" w:cs="Arial"/>
                <w:sz w:val="20"/>
                <w:szCs w:val="20"/>
              </w:rPr>
              <w:t>3</w:t>
            </w:r>
            <w:r w:rsidR="00C568BC" w:rsidRPr="000E32CA">
              <w:rPr>
                <w:rFonts w:ascii="Arial" w:hAnsi="Arial" w:cs="Arial"/>
                <w:sz w:val="20"/>
                <w:szCs w:val="20"/>
              </w:rPr>
              <w:t>5</w:t>
            </w:r>
          </w:p>
        </w:tc>
        <w:tc>
          <w:tcPr>
            <w:tcW w:w="1530" w:type="dxa"/>
            <w:tcBorders>
              <w:top w:val="single" w:sz="4" w:space="0" w:color="000000"/>
              <w:bottom w:val="single" w:sz="4" w:space="0" w:color="000000"/>
            </w:tcBorders>
            <w:vAlign w:val="center"/>
          </w:tcPr>
          <w:p w:rsidR="00C15CE3" w:rsidRPr="000E32CA" w:rsidRDefault="001A59A1" w:rsidP="000E32CA">
            <w:pPr>
              <w:ind w:right="-18"/>
              <w:jc w:val="right"/>
              <w:rPr>
                <w:rFonts w:ascii="Arial" w:hAnsi="Arial" w:cs="Arial"/>
                <w:sz w:val="20"/>
                <w:szCs w:val="20"/>
              </w:rPr>
            </w:pPr>
            <w:r w:rsidRPr="000E32CA">
              <w:rPr>
                <w:rFonts w:ascii="Arial" w:hAnsi="Arial" w:cs="Arial"/>
                <w:sz w:val="20"/>
                <w:szCs w:val="20"/>
              </w:rPr>
              <w:t xml:space="preserve">             </w:t>
            </w:r>
            <w:r w:rsidR="007B391A" w:rsidRPr="000E32CA">
              <w:rPr>
                <w:rFonts w:ascii="Arial" w:hAnsi="Arial" w:cs="Arial"/>
                <w:sz w:val="20"/>
                <w:szCs w:val="20"/>
              </w:rPr>
              <w:t>7.</w:t>
            </w:r>
            <w:r w:rsidR="00BC7482" w:rsidRPr="000E32CA">
              <w:rPr>
                <w:rFonts w:ascii="Arial" w:hAnsi="Arial" w:cs="Arial"/>
                <w:sz w:val="20"/>
                <w:szCs w:val="20"/>
              </w:rPr>
              <w:t>883</w:t>
            </w:r>
          </w:p>
          <w:p w:rsidR="00C15CE3" w:rsidRPr="000E32CA" w:rsidRDefault="00BC7482" w:rsidP="000E32CA">
            <w:pPr>
              <w:ind w:right="-108"/>
              <w:jc w:val="right"/>
              <w:rPr>
                <w:rFonts w:ascii="Arial" w:hAnsi="Arial" w:cs="Arial"/>
                <w:sz w:val="20"/>
                <w:szCs w:val="20"/>
              </w:rPr>
            </w:pPr>
            <w:r w:rsidRPr="000E32CA">
              <w:rPr>
                <w:rFonts w:ascii="Arial" w:hAnsi="Arial" w:cs="Arial"/>
                <w:sz w:val="20"/>
                <w:szCs w:val="20"/>
              </w:rPr>
              <w:t>(</w:t>
            </w:r>
            <w:r w:rsidR="001A59A1" w:rsidRPr="000E32CA">
              <w:rPr>
                <w:rFonts w:ascii="Arial" w:hAnsi="Arial" w:cs="Arial"/>
                <w:sz w:val="20"/>
                <w:szCs w:val="20"/>
              </w:rPr>
              <w:t>79.97</w:t>
            </w:r>
            <w:r w:rsidR="00C568BC" w:rsidRPr="000E32CA">
              <w:rPr>
                <w:rFonts w:ascii="Arial" w:hAnsi="Arial" w:cs="Arial"/>
                <w:sz w:val="20"/>
                <w:szCs w:val="20"/>
              </w:rPr>
              <w:t>4</w:t>
            </w:r>
            <w:r w:rsidR="007B391A" w:rsidRPr="000E32CA">
              <w:rPr>
                <w:rFonts w:ascii="Arial" w:hAnsi="Arial" w:cs="Arial"/>
                <w:sz w:val="20"/>
                <w:szCs w:val="20"/>
              </w:rPr>
              <w:t>)</w:t>
            </w:r>
          </w:p>
        </w:tc>
      </w:tr>
      <w:tr w:rsidR="00C15CE3" w:rsidRPr="000E32CA" w:rsidTr="00654727">
        <w:trPr>
          <w:trHeight w:val="539"/>
        </w:trPr>
        <w:tc>
          <w:tcPr>
            <w:tcW w:w="4050" w:type="dxa"/>
            <w:tcBorders>
              <w:top w:val="single" w:sz="4" w:space="0" w:color="000000"/>
              <w:bottom w:val="single" w:sz="4" w:space="0" w:color="000000"/>
            </w:tcBorders>
          </w:tcPr>
          <w:p w:rsidR="00C15CE3" w:rsidRPr="000E32CA" w:rsidRDefault="00C15CE3" w:rsidP="001A59A1">
            <w:pPr>
              <w:ind w:left="-108"/>
              <w:rPr>
                <w:rFonts w:ascii="Arial" w:hAnsi="Arial" w:cs="Arial"/>
                <w:sz w:val="20"/>
                <w:szCs w:val="20"/>
              </w:rPr>
            </w:pPr>
            <w:r w:rsidRPr="000E32CA">
              <w:rPr>
                <w:rFonts w:ascii="Arial" w:hAnsi="Arial" w:cs="Arial"/>
                <w:sz w:val="20"/>
                <w:szCs w:val="20"/>
              </w:rPr>
              <w:t>Loss from Operations</w:t>
            </w:r>
          </w:p>
          <w:p w:rsidR="00C15CE3" w:rsidRPr="000E32CA" w:rsidRDefault="00C15CE3" w:rsidP="001A59A1">
            <w:pPr>
              <w:ind w:left="162" w:right="-18" w:hanging="270"/>
              <w:rPr>
                <w:rFonts w:ascii="Arial" w:hAnsi="Arial" w:cs="Arial"/>
                <w:sz w:val="20"/>
                <w:szCs w:val="20"/>
              </w:rPr>
            </w:pPr>
            <w:r w:rsidRPr="000E32CA">
              <w:rPr>
                <w:rFonts w:ascii="Arial" w:hAnsi="Arial" w:cs="Arial"/>
                <w:sz w:val="20"/>
                <w:szCs w:val="20"/>
              </w:rPr>
              <w:t>Subsidy Income from  National Government</w:t>
            </w:r>
          </w:p>
        </w:tc>
        <w:tc>
          <w:tcPr>
            <w:tcW w:w="1530" w:type="dxa"/>
            <w:tcBorders>
              <w:top w:val="single" w:sz="4" w:space="0" w:color="000000"/>
              <w:bottom w:val="single" w:sz="4" w:space="0" w:color="000000"/>
            </w:tcBorders>
          </w:tcPr>
          <w:p w:rsidR="00C15CE3" w:rsidRPr="000E32CA" w:rsidRDefault="004A125D" w:rsidP="00BC7482">
            <w:pPr>
              <w:ind w:right="252"/>
              <w:jc w:val="right"/>
              <w:rPr>
                <w:rFonts w:ascii="Arial" w:hAnsi="Arial" w:cs="Arial"/>
                <w:sz w:val="20"/>
                <w:szCs w:val="20"/>
              </w:rPr>
            </w:pPr>
            <w:r w:rsidRPr="000E32CA">
              <w:rPr>
                <w:rFonts w:ascii="Arial" w:hAnsi="Arial" w:cs="Arial"/>
                <w:sz w:val="20"/>
                <w:szCs w:val="20"/>
              </w:rPr>
              <w:t>152.656</w:t>
            </w:r>
          </w:p>
          <w:p w:rsidR="00C15CE3" w:rsidRPr="000E32CA" w:rsidRDefault="004A125D" w:rsidP="00BC7482">
            <w:pPr>
              <w:ind w:right="252"/>
              <w:jc w:val="right"/>
              <w:rPr>
                <w:rFonts w:ascii="Arial" w:hAnsi="Arial" w:cs="Arial"/>
                <w:sz w:val="20"/>
                <w:szCs w:val="20"/>
              </w:rPr>
            </w:pPr>
            <w:r w:rsidRPr="000E32CA">
              <w:rPr>
                <w:rFonts w:ascii="Arial" w:hAnsi="Arial" w:cs="Arial"/>
                <w:sz w:val="20"/>
                <w:szCs w:val="20"/>
              </w:rPr>
              <w:t>271.200</w:t>
            </w:r>
          </w:p>
        </w:tc>
        <w:tc>
          <w:tcPr>
            <w:tcW w:w="1530" w:type="dxa"/>
            <w:tcBorders>
              <w:top w:val="single" w:sz="4" w:space="0" w:color="000000"/>
              <w:bottom w:val="single" w:sz="4" w:space="0" w:color="000000"/>
            </w:tcBorders>
          </w:tcPr>
          <w:p w:rsidR="00C15CE3" w:rsidRPr="000E32CA" w:rsidRDefault="007B391A" w:rsidP="00BC7482">
            <w:pPr>
              <w:ind w:right="72"/>
              <w:jc w:val="right"/>
              <w:rPr>
                <w:rFonts w:ascii="Arial" w:hAnsi="Arial" w:cs="Arial"/>
                <w:sz w:val="20"/>
                <w:szCs w:val="20"/>
              </w:rPr>
            </w:pPr>
            <w:r w:rsidRPr="000E32CA">
              <w:rPr>
                <w:rFonts w:ascii="Arial" w:hAnsi="Arial" w:cs="Arial"/>
                <w:sz w:val="20"/>
                <w:szCs w:val="20"/>
              </w:rPr>
              <w:t>24</w:t>
            </w:r>
            <w:r w:rsidR="00BC7482" w:rsidRPr="000E32CA">
              <w:rPr>
                <w:rFonts w:ascii="Arial" w:hAnsi="Arial" w:cs="Arial"/>
                <w:sz w:val="20"/>
                <w:szCs w:val="20"/>
              </w:rPr>
              <w:t>0.5</w:t>
            </w:r>
            <w:r w:rsidR="001A59A1" w:rsidRPr="000E32CA">
              <w:rPr>
                <w:rFonts w:ascii="Arial" w:hAnsi="Arial" w:cs="Arial"/>
                <w:sz w:val="20"/>
                <w:szCs w:val="20"/>
              </w:rPr>
              <w:t>1</w:t>
            </w:r>
            <w:r w:rsidR="00C568BC" w:rsidRPr="000E32CA">
              <w:rPr>
                <w:rFonts w:ascii="Arial" w:hAnsi="Arial" w:cs="Arial"/>
                <w:sz w:val="20"/>
                <w:szCs w:val="20"/>
              </w:rPr>
              <w:t>3</w:t>
            </w:r>
          </w:p>
          <w:p w:rsidR="00C15CE3" w:rsidRPr="000E32CA" w:rsidRDefault="004A125D" w:rsidP="00BC7482">
            <w:pPr>
              <w:ind w:right="72"/>
              <w:jc w:val="right"/>
              <w:rPr>
                <w:rFonts w:ascii="Arial" w:hAnsi="Arial" w:cs="Arial"/>
                <w:sz w:val="20"/>
                <w:szCs w:val="20"/>
              </w:rPr>
            </w:pPr>
            <w:r w:rsidRPr="000E32CA">
              <w:rPr>
                <w:rFonts w:ascii="Arial" w:hAnsi="Arial" w:cs="Arial"/>
                <w:sz w:val="20"/>
                <w:szCs w:val="20"/>
              </w:rPr>
              <w:t>219.</w:t>
            </w:r>
            <w:r w:rsidR="00BC7482" w:rsidRPr="000E32CA">
              <w:rPr>
                <w:rFonts w:ascii="Arial" w:hAnsi="Arial" w:cs="Arial"/>
                <w:sz w:val="20"/>
                <w:szCs w:val="20"/>
              </w:rPr>
              <w:t>120</w:t>
            </w:r>
          </w:p>
        </w:tc>
        <w:tc>
          <w:tcPr>
            <w:tcW w:w="1530" w:type="dxa"/>
            <w:tcBorders>
              <w:top w:val="single" w:sz="4" w:space="0" w:color="000000"/>
              <w:bottom w:val="single" w:sz="4" w:space="0" w:color="000000"/>
            </w:tcBorders>
          </w:tcPr>
          <w:p w:rsidR="00C15CE3" w:rsidRPr="000E32CA" w:rsidRDefault="00BC7482" w:rsidP="000E32CA">
            <w:pPr>
              <w:ind w:right="-108"/>
              <w:jc w:val="right"/>
              <w:rPr>
                <w:rFonts w:ascii="Arial" w:hAnsi="Arial" w:cs="Arial"/>
                <w:sz w:val="20"/>
                <w:szCs w:val="20"/>
              </w:rPr>
            </w:pPr>
            <w:r w:rsidRPr="000E32CA">
              <w:rPr>
                <w:rFonts w:ascii="Arial" w:hAnsi="Arial" w:cs="Arial"/>
                <w:sz w:val="20"/>
                <w:szCs w:val="20"/>
              </w:rPr>
              <w:t>(87.</w:t>
            </w:r>
            <w:r w:rsidR="001A59A1" w:rsidRPr="000E32CA">
              <w:rPr>
                <w:rFonts w:ascii="Arial" w:hAnsi="Arial" w:cs="Arial"/>
                <w:sz w:val="20"/>
                <w:szCs w:val="20"/>
              </w:rPr>
              <w:t>85</w:t>
            </w:r>
            <w:r w:rsidR="00C568BC" w:rsidRPr="000E32CA">
              <w:rPr>
                <w:rFonts w:ascii="Arial" w:hAnsi="Arial" w:cs="Arial"/>
                <w:sz w:val="20"/>
                <w:szCs w:val="20"/>
              </w:rPr>
              <w:t>7</w:t>
            </w:r>
            <w:r w:rsidR="007B391A" w:rsidRPr="000E32CA">
              <w:rPr>
                <w:rFonts w:ascii="Arial" w:hAnsi="Arial" w:cs="Arial"/>
                <w:sz w:val="20"/>
                <w:szCs w:val="20"/>
              </w:rPr>
              <w:t>)</w:t>
            </w:r>
          </w:p>
          <w:p w:rsidR="00C15CE3" w:rsidRPr="000E32CA" w:rsidRDefault="001A59A1" w:rsidP="000E32CA">
            <w:pPr>
              <w:ind w:right="-18"/>
              <w:jc w:val="right"/>
              <w:rPr>
                <w:rFonts w:ascii="Arial" w:hAnsi="Arial" w:cs="Arial"/>
                <w:sz w:val="20"/>
                <w:szCs w:val="20"/>
              </w:rPr>
            </w:pPr>
            <w:r w:rsidRPr="000E32CA">
              <w:rPr>
                <w:rFonts w:ascii="Arial" w:hAnsi="Arial" w:cs="Arial"/>
                <w:sz w:val="20"/>
                <w:szCs w:val="20"/>
              </w:rPr>
              <w:t xml:space="preserve">           </w:t>
            </w:r>
            <w:r w:rsidR="004A125D" w:rsidRPr="000E32CA">
              <w:rPr>
                <w:rFonts w:ascii="Arial" w:hAnsi="Arial" w:cs="Arial"/>
                <w:sz w:val="20"/>
                <w:szCs w:val="20"/>
              </w:rPr>
              <w:t>52.0</w:t>
            </w:r>
            <w:r w:rsidR="00BC7482" w:rsidRPr="000E32CA">
              <w:rPr>
                <w:rFonts w:ascii="Arial" w:hAnsi="Arial" w:cs="Arial"/>
                <w:sz w:val="20"/>
                <w:szCs w:val="20"/>
              </w:rPr>
              <w:t>80</w:t>
            </w:r>
          </w:p>
        </w:tc>
      </w:tr>
      <w:tr w:rsidR="00C15CE3" w:rsidRPr="000E32CA" w:rsidTr="00654727">
        <w:trPr>
          <w:trHeight w:val="274"/>
        </w:trPr>
        <w:tc>
          <w:tcPr>
            <w:tcW w:w="4050" w:type="dxa"/>
            <w:tcBorders>
              <w:top w:val="single" w:sz="4" w:space="0" w:color="000000"/>
            </w:tcBorders>
            <w:vAlign w:val="center"/>
          </w:tcPr>
          <w:p w:rsidR="00C15CE3" w:rsidRPr="000E32CA" w:rsidRDefault="00C568BC" w:rsidP="00C568BC">
            <w:pPr>
              <w:ind w:hanging="108"/>
              <w:rPr>
                <w:rFonts w:ascii="Arial" w:hAnsi="Arial" w:cs="Arial"/>
                <w:sz w:val="20"/>
                <w:szCs w:val="20"/>
              </w:rPr>
            </w:pPr>
            <w:r w:rsidRPr="000E32CA">
              <w:rPr>
                <w:rFonts w:ascii="Arial" w:hAnsi="Arial" w:cs="Arial"/>
                <w:sz w:val="20"/>
                <w:szCs w:val="20"/>
              </w:rPr>
              <w:t>Net Income (Loss)</w:t>
            </w:r>
          </w:p>
        </w:tc>
        <w:tc>
          <w:tcPr>
            <w:tcW w:w="1530" w:type="dxa"/>
            <w:tcBorders>
              <w:top w:val="single" w:sz="4" w:space="0" w:color="000000"/>
            </w:tcBorders>
            <w:vAlign w:val="center"/>
          </w:tcPr>
          <w:p w:rsidR="00C15CE3" w:rsidRPr="000E32CA" w:rsidRDefault="004A125D" w:rsidP="00622149">
            <w:pPr>
              <w:ind w:right="252"/>
              <w:jc w:val="right"/>
              <w:rPr>
                <w:rFonts w:ascii="Arial" w:hAnsi="Arial" w:cs="Arial"/>
                <w:sz w:val="20"/>
                <w:szCs w:val="20"/>
              </w:rPr>
            </w:pPr>
            <w:r w:rsidRPr="000E32CA">
              <w:rPr>
                <w:rFonts w:ascii="Arial" w:hAnsi="Arial" w:cs="Arial"/>
                <w:sz w:val="20"/>
                <w:szCs w:val="20"/>
              </w:rPr>
              <w:t>118.544</w:t>
            </w:r>
          </w:p>
        </w:tc>
        <w:tc>
          <w:tcPr>
            <w:tcW w:w="1530" w:type="dxa"/>
            <w:tcBorders>
              <w:top w:val="single" w:sz="4" w:space="0" w:color="000000"/>
            </w:tcBorders>
            <w:vAlign w:val="center"/>
          </w:tcPr>
          <w:p w:rsidR="00C15CE3" w:rsidRPr="000E32CA" w:rsidRDefault="001A59A1" w:rsidP="00C568BC">
            <w:pPr>
              <w:ind w:right="72"/>
              <w:jc w:val="right"/>
              <w:rPr>
                <w:rFonts w:ascii="Arial" w:hAnsi="Arial" w:cs="Arial"/>
                <w:sz w:val="20"/>
                <w:szCs w:val="20"/>
              </w:rPr>
            </w:pPr>
            <w:r w:rsidRPr="000E32CA">
              <w:rPr>
                <w:rFonts w:ascii="Arial" w:hAnsi="Arial" w:cs="Arial"/>
                <w:sz w:val="20"/>
                <w:szCs w:val="20"/>
              </w:rPr>
              <w:t>(21.39</w:t>
            </w:r>
            <w:r w:rsidR="00C568BC" w:rsidRPr="000E32CA">
              <w:rPr>
                <w:rFonts w:ascii="Arial" w:hAnsi="Arial" w:cs="Arial"/>
                <w:sz w:val="20"/>
                <w:szCs w:val="20"/>
              </w:rPr>
              <w:t>3</w:t>
            </w:r>
            <w:r w:rsidR="007B391A" w:rsidRPr="000E32CA">
              <w:rPr>
                <w:rFonts w:ascii="Arial" w:hAnsi="Arial" w:cs="Arial"/>
                <w:sz w:val="20"/>
                <w:szCs w:val="20"/>
              </w:rPr>
              <w:t>)</w:t>
            </w:r>
            <w:r w:rsidR="00C15CE3" w:rsidRPr="000E32CA">
              <w:rPr>
                <w:rFonts w:ascii="Arial" w:hAnsi="Arial" w:cs="Arial"/>
                <w:sz w:val="20"/>
                <w:szCs w:val="20"/>
              </w:rPr>
              <w:t xml:space="preserve">  </w:t>
            </w:r>
          </w:p>
        </w:tc>
        <w:tc>
          <w:tcPr>
            <w:tcW w:w="1530" w:type="dxa"/>
            <w:tcBorders>
              <w:top w:val="single" w:sz="4" w:space="0" w:color="000000"/>
            </w:tcBorders>
            <w:vAlign w:val="center"/>
          </w:tcPr>
          <w:p w:rsidR="00C15CE3" w:rsidRPr="000E32CA" w:rsidRDefault="00BC7482" w:rsidP="000E32CA">
            <w:pPr>
              <w:ind w:right="-18"/>
              <w:jc w:val="right"/>
              <w:rPr>
                <w:rFonts w:ascii="Arial" w:hAnsi="Arial" w:cs="Arial"/>
                <w:sz w:val="20"/>
                <w:szCs w:val="20"/>
              </w:rPr>
            </w:pPr>
            <w:r w:rsidRPr="000E32CA">
              <w:rPr>
                <w:rFonts w:ascii="Arial" w:hAnsi="Arial" w:cs="Arial"/>
                <w:sz w:val="20"/>
                <w:szCs w:val="20"/>
              </w:rPr>
              <w:t>139.9</w:t>
            </w:r>
            <w:r w:rsidR="001A59A1" w:rsidRPr="000E32CA">
              <w:rPr>
                <w:rFonts w:ascii="Arial" w:hAnsi="Arial" w:cs="Arial"/>
                <w:sz w:val="20"/>
                <w:szCs w:val="20"/>
              </w:rPr>
              <w:t>3</w:t>
            </w:r>
            <w:r w:rsidR="00C568BC" w:rsidRPr="000E32CA">
              <w:rPr>
                <w:rFonts w:ascii="Arial" w:hAnsi="Arial" w:cs="Arial"/>
                <w:sz w:val="20"/>
                <w:szCs w:val="20"/>
              </w:rPr>
              <w:t>7</w:t>
            </w:r>
          </w:p>
        </w:tc>
      </w:tr>
    </w:tbl>
    <w:p w:rsidR="001353D4" w:rsidRPr="000E32CA" w:rsidRDefault="001353D4" w:rsidP="00C15CE3">
      <w:pPr>
        <w:rPr>
          <w:rFonts w:ascii="Arial" w:hAnsi="Arial" w:cs="Arial"/>
          <w:sz w:val="20"/>
          <w:szCs w:val="20"/>
        </w:rPr>
      </w:pPr>
    </w:p>
    <w:p w:rsidR="00C15CE3" w:rsidRPr="000E32CA" w:rsidRDefault="00C15CE3" w:rsidP="000E32CA">
      <w:pPr>
        <w:pStyle w:val="ListParagraph"/>
        <w:numPr>
          <w:ilvl w:val="0"/>
          <w:numId w:val="28"/>
        </w:numPr>
        <w:tabs>
          <w:tab w:val="left" w:pos="360"/>
          <w:tab w:val="left" w:pos="540"/>
        </w:tabs>
        <w:ind w:hanging="1080"/>
        <w:rPr>
          <w:rFonts w:ascii="Arial" w:hAnsi="Arial" w:cs="Arial"/>
          <w:b/>
          <w:sz w:val="20"/>
          <w:szCs w:val="20"/>
        </w:rPr>
      </w:pPr>
      <w:r w:rsidRPr="000E32CA">
        <w:rPr>
          <w:rFonts w:ascii="Arial" w:hAnsi="Arial" w:cs="Arial"/>
          <w:b/>
          <w:sz w:val="20"/>
          <w:szCs w:val="20"/>
        </w:rPr>
        <w:t xml:space="preserve">Statement of Comparison </w:t>
      </w:r>
      <w:r w:rsidR="005A5F9F" w:rsidRPr="000E32CA">
        <w:rPr>
          <w:rFonts w:ascii="Arial" w:hAnsi="Arial" w:cs="Arial"/>
          <w:b/>
          <w:sz w:val="20"/>
          <w:szCs w:val="20"/>
        </w:rPr>
        <w:t xml:space="preserve">of Budget and </w:t>
      </w:r>
      <w:r w:rsidR="007A64C8" w:rsidRPr="000E32CA">
        <w:rPr>
          <w:rFonts w:ascii="Arial" w:hAnsi="Arial" w:cs="Arial"/>
          <w:b/>
          <w:sz w:val="20"/>
          <w:szCs w:val="20"/>
        </w:rPr>
        <w:t xml:space="preserve"> Actual </w:t>
      </w:r>
      <w:r w:rsidR="005A5F9F" w:rsidRPr="000E32CA">
        <w:rPr>
          <w:rFonts w:ascii="Arial" w:hAnsi="Arial" w:cs="Arial"/>
          <w:b/>
          <w:sz w:val="20"/>
          <w:szCs w:val="20"/>
        </w:rPr>
        <w:t xml:space="preserve">Amounts Expended </w:t>
      </w:r>
    </w:p>
    <w:p w:rsidR="000E32CA" w:rsidRPr="000E32CA" w:rsidRDefault="000E32CA" w:rsidP="000E32CA">
      <w:pPr>
        <w:pStyle w:val="ListParagraph"/>
        <w:tabs>
          <w:tab w:val="left" w:pos="360"/>
          <w:tab w:val="left" w:pos="540"/>
        </w:tabs>
        <w:ind w:left="1080"/>
        <w:rPr>
          <w:rFonts w:ascii="Arial" w:hAnsi="Arial" w:cs="Arial"/>
          <w:b/>
          <w:sz w:val="20"/>
          <w:szCs w:val="20"/>
          <w:u w:val="single"/>
        </w:rPr>
      </w:pPr>
    </w:p>
    <w:tbl>
      <w:tblPr>
        <w:tblW w:w="8640" w:type="dxa"/>
        <w:tblInd w:w="108" w:type="dxa"/>
        <w:tblBorders>
          <w:top w:val="single" w:sz="4" w:space="0" w:color="000000"/>
          <w:bottom w:val="double" w:sz="4" w:space="0" w:color="auto"/>
        </w:tblBorders>
        <w:tblLayout w:type="fixed"/>
        <w:tblLook w:val="04A0" w:firstRow="1" w:lastRow="0" w:firstColumn="1" w:lastColumn="0" w:noHBand="0" w:noVBand="1"/>
      </w:tblPr>
      <w:tblGrid>
        <w:gridCol w:w="4140"/>
        <w:gridCol w:w="1170"/>
        <w:gridCol w:w="1590"/>
        <w:gridCol w:w="30"/>
        <w:gridCol w:w="1710"/>
      </w:tblGrid>
      <w:tr w:rsidR="00C15CE3" w:rsidRPr="000E32CA" w:rsidTr="00206EB6">
        <w:trPr>
          <w:trHeight w:val="269"/>
        </w:trPr>
        <w:tc>
          <w:tcPr>
            <w:tcW w:w="4140" w:type="dxa"/>
            <w:tcBorders>
              <w:top w:val="single" w:sz="4" w:space="0" w:color="000000"/>
              <w:bottom w:val="single" w:sz="4" w:space="0" w:color="000000"/>
            </w:tcBorders>
            <w:vAlign w:val="center"/>
          </w:tcPr>
          <w:p w:rsidR="00C15CE3" w:rsidRPr="000E32CA" w:rsidRDefault="00C15CE3" w:rsidP="00BC7482">
            <w:pPr>
              <w:rPr>
                <w:rFonts w:ascii="Arial" w:hAnsi="Arial" w:cs="Arial"/>
                <w:sz w:val="20"/>
                <w:szCs w:val="20"/>
              </w:rPr>
            </w:pPr>
            <w:r w:rsidRPr="000E32CA">
              <w:rPr>
                <w:rFonts w:ascii="Arial" w:hAnsi="Arial" w:cs="Arial"/>
                <w:sz w:val="20"/>
                <w:szCs w:val="20"/>
              </w:rPr>
              <w:t xml:space="preserve"> </w:t>
            </w:r>
          </w:p>
        </w:tc>
        <w:tc>
          <w:tcPr>
            <w:tcW w:w="1170" w:type="dxa"/>
            <w:tcBorders>
              <w:top w:val="single" w:sz="4" w:space="0" w:color="000000"/>
              <w:bottom w:val="single" w:sz="4" w:space="0" w:color="000000"/>
            </w:tcBorders>
            <w:vAlign w:val="center"/>
          </w:tcPr>
          <w:p w:rsidR="00C15CE3" w:rsidRPr="000E32CA" w:rsidRDefault="00680F4D" w:rsidP="00680F4D">
            <w:pPr>
              <w:jc w:val="right"/>
              <w:rPr>
                <w:rFonts w:ascii="Arial" w:hAnsi="Arial" w:cs="Arial"/>
                <w:b/>
                <w:sz w:val="20"/>
                <w:szCs w:val="20"/>
              </w:rPr>
            </w:pPr>
            <w:r w:rsidRPr="000E32CA">
              <w:rPr>
                <w:rFonts w:ascii="Arial" w:hAnsi="Arial" w:cs="Arial"/>
                <w:b/>
                <w:sz w:val="20"/>
                <w:szCs w:val="20"/>
              </w:rPr>
              <w:t xml:space="preserve">        </w:t>
            </w:r>
            <w:r w:rsidR="00C15CE3" w:rsidRPr="000E32CA">
              <w:rPr>
                <w:rFonts w:ascii="Arial" w:hAnsi="Arial" w:cs="Arial"/>
                <w:b/>
                <w:sz w:val="20"/>
                <w:szCs w:val="20"/>
              </w:rPr>
              <w:t>Budget</w:t>
            </w:r>
          </w:p>
        </w:tc>
        <w:tc>
          <w:tcPr>
            <w:tcW w:w="1590" w:type="dxa"/>
            <w:tcBorders>
              <w:top w:val="single" w:sz="4" w:space="0" w:color="000000"/>
              <w:bottom w:val="single" w:sz="4" w:space="0" w:color="000000"/>
            </w:tcBorders>
            <w:vAlign w:val="center"/>
          </w:tcPr>
          <w:p w:rsidR="00C15CE3" w:rsidRPr="000E32CA" w:rsidRDefault="00C15CE3" w:rsidP="00680F4D">
            <w:pPr>
              <w:ind w:left="-108" w:right="-48"/>
              <w:jc w:val="right"/>
              <w:rPr>
                <w:rFonts w:ascii="Arial" w:hAnsi="Arial" w:cs="Arial"/>
                <w:b/>
                <w:sz w:val="20"/>
                <w:szCs w:val="20"/>
              </w:rPr>
            </w:pPr>
            <w:r w:rsidRPr="000E32CA">
              <w:rPr>
                <w:rFonts w:ascii="Arial" w:hAnsi="Arial" w:cs="Arial"/>
                <w:b/>
                <w:sz w:val="20"/>
                <w:szCs w:val="20"/>
              </w:rPr>
              <w:t>Amounts</w:t>
            </w:r>
          </w:p>
          <w:p w:rsidR="00C15CE3" w:rsidRPr="000E32CA" w:rsidRDefault="00C15CE3" w:rsidP="00680F4D">
            <w:pPr>
              <w:ind w:left="-108" w:right="-48"/>
              <w:jc w:val="right"/>
              <w:rPr>
                <w:rFonts w:ascii="Arial" w:hAnsi="Arial" w:cs="Arial"/>
                <w:b/>
                <w:sz w:val="20"/>
                <w:szCs w:val="20"/>
              </w:rPr>
            </w:pPr>
            <w:r w:rsidRPr="000E32CA">
              <w:rPr>
                <w:rFonts w:ascii="Arial" w:hAnsi="Arial" w:cs="Arial"/>
                <w:b/>
                <w:sz w:val="20"/>
                <w:szCs w:val="20"/>
              </w:rPr>
              <w:t>Expended</w:t>
            </w:r>
          </w:p>
        </w:tc>
        <w:tc>
          <w:tcPr>
            <w:tcW w:w="1740" w:type="dxa"/>
            <w:gridSpan w:val="2"/>
            <w:tcBorders>
              <w:top w:val="single" w:sz="4" w:space="0" w:color="000000"/>
              <w:bottom w:val="single" w:sz="4" w:space="0" w:color="000000"/>
            </w:tcBorders>
            <w:vAlign w:val="center"/>
          </w:tcPr>
          <w:p w:rsidR="00C15CE3" w:rsidRPr="000E32CA" w:rsidRDefault="00C15CE3" w:rsidP="00680F4D">
            <w:pPr>
              <w:ind w:left="-127" w:right="-90"/>
              <w:jc w:val="right"/>
              <w:rPr>
                <w:rFonts w:ascii="Arial" w:hAnsi="Arial" w:cs="Arial"/>
                <w:b/>
                <w:sz w:val="20"/>
                <w:szCs w:val="20"/>
              </w:rPr>
            </w:pPr>
            <w:r w:rsidRPr="000E32CA">
              <w:rPr>
                <w:rFonts w:ascii="Arial" w:hAnsi="Arial" w:cs="Arial"/>
                <w:b/>
                <w:sz w:val="20"/>
                <w:szCs w:val="20"/>
              </w:rPr>
              <w:t>Variance</w:t>
            </w:r>
          </w:p>
        </w:tc>
      </w:tr>
      <w:tr w:rsidR="004306CF" w:rsidRPr="000E32CA" w:rsidTr="00206EB6">
        <w:trPr>
          <w:trHeight w:val="233"/>
        </w:trPr>
        <w:tc>
          <w:tcPr>
            <w:tcW w:w="4140" w:type="dxa"/>
            <w:tcBorders>
              <w:top w:val="single" w:sz="4" w:space="0" w:color="000000"/>
              <w:bottom w:val="nil"/>
            </w:tcBorders>
          </w:tcPr>
          <w:p w:rsidR="004306CF" w:rsidRPr="000E32CA" w:rsidRDefault="004306CF" w:rsidP="00680F4D">
            <w:pPr>
              <w:ind w:hanging="108"/>
              <w:rPr>
                <w:rFonts w:ascii="Arial" w:hAnsi="Arial" w:cs="Arial"/>
                <w:sz w:val="20"/>
                <w:szCs w:val="20"/>
              </w:rPr>
            </w:pPr>
            <w:r w:rsidRPr="000E32CA">
              <w:rPr>
                <w:rFonts w:ascii="Arial" w:hAnsi="Arial" w:cs="Arial"/>
                <w:sz w:val="20"/>
                <w:szCs w:val="20"/>
              </w:rPr>
              <w:t>Personal Services</w:t>
            </w:r>
          </w:p>
        </w:tc>
        <w:tc>
          <w:tcPr>
            <w:tcW w:w="1170" w:type="dxa"/>
            <w:tcBorders>
              <w:top w:val="single" w:sz="4" w:space="0" w:color="000000"/>
              <w:bottom w:val="nil"/>
            </w:tcBorders>
            <w:vAlign w:val="center"/>
          </w:tcPr>
          <w:p w:rsidR="004306CF" w:rsidRPr="000E32CA" w:rsidRDefault="004306CF" w:rsidP="00206EB6">
            <w:pPr>
              <w:ind w:left="-108" w:right="-18"/>
              <w:jc w:val="right"/>
              <w:rPr>
                <w:rFonts w:ascii="Arial" w:hAnsi="Arial" w:cs="Arial"/>
                <w:b/>
                <w:sz w:val="20"/>
                <w:szCs w:val="20"/>
              </w:rPr>
            </w:pPr>
            <w:r w:rsidRPr="000E32CA">
              <w:rPr>
                <w:rFonts w:ascii="Arial" w:hAnsi="Arial" w:cs="Arial"/>
                <w:sz w:val="20"/>
                <w:szCs w:val="20"/>
              </w:rPr>
              <w:t>170.722</w:t>
            </w:r>
          </w:p>
        </w:tc>
        <w:tc>
          <w:tcPr>
            <w:tcW w:w="1620" w:type="dxa"/>
            <w:gridSpan w:val="2"/>
            <w:tcBorders>
              <w:top w:val="single" w:sz="4" w:space="0" w:color="000000"/>
              <w:bottom w:val="nil"/>
            </w:tcBorders>
            <w:vAlign w:val="center"/>
          </w:tcPr>
          <w:p w:rsidR="004306CF" w:rsidRPr="000E32CA" w:rsidRDefault="004306CF" w:rsidP="00206EB6">
            <w:pPr>
              <w:ind w:left="-108" w:right="-108"/>
              <w:jc w:val="right"/>
              <w:rPr>
                <w:rFonts w:ascii="Arial" w:hAnsi="Arial" w:cs="Arial"/>
                <w:b/>
                <w:sz w:val="20"/>
                <w:szCs w:val="20"/>
              </w:rPr>
            </w:pPr>
            <w:r w:rsidRPr="000E32CA">
              <w:rPr>
                <w:rFonts w:ascii="Arial" w:hAnsi="Arial" w:cs="Arial"/>
                <w:sz w:val="20"/>
                <w:szCs w:val="20"/>
              </w:rPr>
              <w:t>175.368</w:t>
            </w:r>
          </w:p>
        </w:tc>
        <w:tc>
          <w:tcPr>
            <w:tcW w:w="1710" w:type="dxa"/>
            <w:tcBorders>
              <w:top w:val="single" w:sz="4" w:space="0" w:color="000000"/>
              <w:bottom w:val="nil"/>
            </w:tcBorders>
            <w:vAlign w:val="center"/>
          </w:tcPr>
          <w:p w:rsidR="004306CF" w:rsidRPr="000E32CA" w:rsidRDefault="00EB3C52" w:rsidP="00680F4D">
            <w:pPr>
              <w:tabs>
                <w:tab w:val="left" w:pos="1452"/>
              </w:tabs>
              <w:ind w:right="-108"/>
              <w:jc w:val="right"/>
              <w:rPr>
                <w:rFonts w:ascii="Arial" w:hAnsi="Arial" w:cs="Arial"/>
                <w:b/>
                <w:sz w:val="20"/>
                <w:szCs w:val="20"/>
              </w:rPr>
            </w:pPr>
            <w:r w:rsidRPr="000E32CA">
              <w:rPr>
                <w:rFonts w:ascii="Arial" w:hAnsi="Arial" w:cs="Arial"/>
                <w:sz w:val="20"/>
                <w:szCs w:val="20"/>
              </w:rPr>
              <w:t>(4.646)</w:t>
            </w:r>
          </w:p>
        </w:tc>
      </w:tr>
      <w:tr w:rsidR="004306CF" w:rsidRPr="000E32CA" w:rsidTr="00206EB6">
        <w:trPr>
          <w:trHeight w:val="274"/>
        </w:trPr>
        <w:tc>
          <w:tcPr>
            <w:tcW w:w="4140" w:type="dxa"/>
            <w:tcBorders>
              <w:top w:val="nil"/>
              <w:bottom w:val="nil"/>
            </w:tcBorders>
          </w:tcPr>
          <w:p w:rsidR="004306CF" w:rsidRPr="000E32CA" w:rsidRDefault="004306CF" w:rsidP="00680F4D">
            <w:pPr>
              <w:ind w:left="162" w:hanging="270"/>
              <w:rPr>
                <w:rFonts w:ascii="Arial" w:hAnsi="Arial" w:cs="Arial"/>
                <w:sz w:val="20"/>
                <w:szCs w:val="20"/>
              </w:rPr>
            </w:pPr>
            <w:r w:rsidRPr="000E32CA">
              <w:rPr>
                <w:rFonts w:ascii="Arial" w:hAnsi="Arial" w:cs="Arial"/>
                <w:sz w:val="20"/>
                <w:szCs w:val="20"/>
              </w:rPr>
              <w:t xml:space="preserve">Maintenance and </w:t>
            </w:r>
            <w:r w:rsidR="007A64C8" w:rsidRPr="000E32CA">
              <w:rPr>
                <w:rFonts w:ascii="Arial" w:hAnsi="Arial" w:cs="Arial"/>
                <w:sz w:val="20"/>
                <w:szCs w:val="20"/>
              </w:rPr>
              <w:t>O</w:t>
            </w:r>
            <w:r w:rsidRPr="000E32CA">
              <w:rPr>
                <w:rFonts w:ascii="Arial" w:hAnsi="Arial" w:cs="Arial"/>
                <w:sz w:val="20"/>
                <w:szCs w:val="20"/>
              </w:rPr>
              <w:t>ther Operating Expenses</w:t>
            </w:r>
          </w:p>
        </w:tc>
        <w:tc>
          <w:tcPr>
            <w:tcW w:w="1170" w:type="dxa"/>
            <w:tcBorders>
              <w:top w:val="nil"/>
              <w:bottom w:val="nil"/>
            </w:tcBorders>
            <w:vAlign w:val="center"/>
          </w:tcPr>
          <w:p w:rsidR="004306CF" w:rsidRPr="000E32CA" w:rsidRDefault="004306CF" w:rsidP="00206EB6">
            <w:pPr>
              <w:ind w:left="-108" w:right="-18"/>
              <w:jc w:val="right"/>
              <w:rPr>
                <w:rFonts w:ascii="Arial" w:hAnsi="Arial" w:cs="Arial"/>
                <w:b/>
                <w:sz w:val="20"/>
                <w:szCs w:val="20"/>
              </w:rPr>
            </w:pPr>
            <w:r w:rsidRPr="000E32CA">
              <w:rPr>
                <w:rFonts w:ascii="Arial" w:hAnsi="Arial" w:cs="Arial"/>
                <w:sz w:val="20"/>
                <w:szCs w:val="20"/>
              </w:rPr>
              <w:t>64.847</w:t>
            </w:r>
          </w:p>
        </w:tc>
        <w:tc>
          <w:tcPr>
            <w:tcW w:w="1620" w:type="dxa"/>
            <w:gridSpan w:val="2"/>
            <w:tcBorders>
              <w:top w:val="nil"/>
              <w:bottom w:val="nil"/>
            </w:tcBorders>
            <w:vAlign w:val="center"/>
          </w:tcPr>
          <w:p w:rsidR="004306CF" w:rsidRPr="000E32CA" w:rsidRDefault="004306CF" w:rsidP="00206EB6">
            <w:pPr>
              <w:ind w:left="-108" w:right="-108"/>
              <w:jc w:val="right"/>
              <w:rPr>
                <w:rFonts w:ascii="Arial" w:hAnsi="Arial" w:cs="Arial"/>
                <w:b/>
                <w:sz w:val="20"/>
                <w:szCs w:val="20"/>
              </w:rPr>
            </w:pPr>
            <w:r w:rsidRPr="000E32CA">
              <w:rPr>
                <w:rFonts w:ascii="Arial" w:hAnsi="Arial" w:cs="Arial"/>
                <w:sz w:val="20"/>
                <w:szCs w:val="20"/>
              </w:rPr>
              <w:t>60.080</w:t>
            </w:r>
          </w:p>
        </w:tc>
        <w:tc>
          <w:tcPr>
            <w:tcW w:w="1710" w:type="dxa"/>
            <w:tcBorders>
              <w:top w:val="nil"/>
              <w:bottom w:val="nil"/>
            </w:tcBorders>
          </w:tcPr>
          <w:p w:rsidR="004306CF" w:rsidRPr="000E32CA" w:rsidRDefault="00EB3C52" w:rsidP="000E32CA">
            <w:pPr>
              <w:tabs>
                <w:tab w:val="left" w:pos="1452"/>
              </w:tabs>
              <w:ind w:right="-18"/>
              <w:jc w:val="right"/>
              <w:rPr>
                <w:rFonts w:ascii="Arial" w:hAnsi="Arial" w:cs="Arial"/>
                <w:sz w:val="20"/>
                <w:szCs w:val="20"/>
              </w:rPr>
            </w:pPr>
            <w:r w:rsidRPr="000E32CA">
              <w:rPr>
                <w:rFonts w:ascii="Arial" w:hAnsi="Arial" w:cs="Arial"/>
                <w:sz w:val="20"/>
                <w:szCs w:val="20"/>
              </w:rPr>
              <w:t>4.767</w:t>
            </w:r>
          </w:p>
        </w:tc>
      </w:tr>
      <w:tr w:rsidR="004306CF" w:rsidRPr="000E32CA" w:rsidTr="00206EB6">
        <w:trPr>
          <w:trHeight w:val="274"/>
        </w:trPr>
        <w:tc>
          <w:tcPr>
            <w:tcW w:w="4140" w:type="dxa"/>
            <w:tcBorders>
              <w:top w:val="nil"/>
              <w:bottom w:val="nil"/>
            </w:tcBorders>
          </w:tcPr>
          <w:p w:rsidR="004306CF" w:rsidRPr="000E32CA" w:rsidRDefault="007A64C8" w:rsidP="00680F4D">
            <w:pPr>
              <w:ind w:hanging="108"/>
              <w:rPr>
                <w:rFonts w:ascii="Arial" w:hAnsi="Arial" w:cs="Arial"/>
                <w:sz w:val="20"/>
                <w:szCs w:val="20"/>
              </w:rPr>
            </w:pPr>
            <w:r w:rsidRPr="000E32CA">
              <w:rPr>
                <w:rFonts w:ascii="Arial" w:hAnsi="Arial" w:cs="Arial"/>
                <w:sz w:val="20"/>
                <w:szCs w:val="20"/>
              </w:rPr>
              <w:t>Capital E</w:t>
            </w:r>
            <w:r w:rsidR="004306CF" w:rsidRPr="000E32CA">
              <w:rPr>
                <w:rFonts w:ascii="Arial" w:hAnsi="Arial" w:cs="Arial"/>
                <w:sz w:val="20"/>
                <w:szCs w:val="20"/>
              </w:rPr>
              <w:t>xpenditures</w:t>
            </w:r>
          </w:p>
        </w:tc>
        <w:tc>
          <w:tcPr>
            <w:tcW w:w="1170" w:type="dxa"/>
            <w:tcBorders>
              <w:top w:val="nil"/>
              <w:bottom w:val="nil"/>
            </w:tcBorders>
            <w:vAlign w:val="center"/>
          </w:tcPr>
          <w:p w:rsidR="004306CF" w:rsidRPr="000E32CA" w:rsidRDefault="004306CF" w:rsidP="00206EB6">
            <w:pPr>
              <w:ind w:left="-108" w:right="-18"/>
              <w:jc w:val="right"/>
              <w:rPr>
                <w:rFonts w:ascii="Arial" w:hAnsi="Arial" w:cs="Arial"/>
                <w:b/>
                <w:sz w:val="20"/>
                <w:szCs w:val="20"/>
              </w:rPr>
            </w:pPr>
            <w:r w:rsidRPr="000E32CA">
              <w:rPr>
                <w:rFonts w:ascii="Arial" w:hAnsi="Arial" w:cs="Arial"/>
                <w:sz w:val="20"/>
                <w:szCs w:val="20"/>
              </w:rPr>
              <w:t>103.000</w:t>
            </w:r>
          </w:p>
        </w:tc>
        <w:tc>
          <w:tcPr>
            <w:tcW w:w="1620" w:type="dxa"/>
            <w:gridSpan w:val="2"/>
            <w:tcBorders>
              <w:top w:val="nil"/>
              <w:bottom w:val="nil"/>
            </w:tcBorders>
          </w:tcPr>
          <w:p w:rsidR="004306CF" w:rsidRPr="000E32CA" w:rsidRDefault="00EB3C52" w:rsidP="00206EB6">
            <w:pPr>
              <w:ind w:left="-108" w:right="-108"/>
              <w:jc w:val="right"/>
              <w:rPr>
                <w:rFonts w:ascii="Arial" w:hAnsi="Arial" w:cs="Arial"/>
                <w:b/>
                <w:sz w:val="20"/>
                <w:szCs w:val="20"/>
              </w:rPr>
            </w:pPr>
            <w:r w:rsidRPr="000E32CA">
              <w:rPr>
                <w:rFonts w:ascii="Arial" w:hAnsi="Arial" w:cs="Arial"/>
                <w:sz w:val="20"/>
                <w:szCs w:val="20"/>
              </w:rPr>
              <w:t>68.042</w:t>
            </w:r>
          </w:p>
        </w:tc>
        <w:tc>
          <w:tcPr>
            <w:tcW w:w="1710" w:type="dxa"/>
            <w:tcBorders>
              <w:top w:val="nil"/>
              <w:bottom w:val="nil"/>
            </w:tcBorders>
          </w:tcPr>
          <w:p w:rsidR="004306CF" w:rsidRPr="000E32CA" w:rsidRDefault="00EB3C52" w:rsidP="000E32CA">
            <w:pPr>
              <w:tabs>
                <w:tab w:val="left" w:pos="1452"/>
              </w:tabs>
              <w:ind w:right="-18"/>
              <w:jc w:val="right"/>
              <w:rPr>
                <w:rFonts w:ascii="Arial" w:hAnsi="Arial" w:cs="Arial"/>
                <w:sz w:val="20"/>
                <w:szCs w:val="20"/>
              </w:rPr>
            </w:pPr>
            <w:r w:rsidRPr="000E32CA">
              <w:rPr>
                <w:rFonts w:ascii="Arial" w:hAnsi="Arial" w:cs="Arial"/>
                <w:sz w:val="20"/>
                <w:szCs w:val="20"/>
              </w:rPr>
              <w:t>34.958</w:t>
            </w:r>
          </w:p>
        </w:tc>
      </w:tr>
      <w:tr w:rsidR="004306CF" w:rsidRPr="000E32CA" w:rsidTr="00206EB6">
        <w:trPr>
          <w:trHeight w:val="274"/>
        </w:trPr>
        <w:tc>
          <w:tcPr>
            <w:tcW w:w="4140" w:type="dxa"/>
            <w:tcBorders>
              <w:top w:val="nil"/>
            </w:tcBorders>
            <w:vAlign w:val="center"/>
          </w:tcPr>
          <w:p w:rsidR="004306CF" w:rsidRPr="000E32CA" w:rsidRDefault="007A64C8" w:rsidP="00680F4D">
            <w:pPr>
              <w:ind w:hanging="108"/>
              <w:rPr>
                <w:rFonts w:ascii="Arial" w:hAnsi="Arial" w:cs="Arial"/>
                <w:sz w:val="20"/>
                <w:szCs w:val="20"/>
              </w:rPr>
            </w:pPr>
            <w:r w:rsidRPr="000E32CA">
              <w:rPr>
                <w:rFonts w:ascii="Arial" w:hAnsi="Arial" w:cs="Arial"/>
                <w:sz w:val="20"/>
                <w:szCs w:val="20"/>
              </w:rPr>
              <w:t>Investment O</w:t>
            </w:r>
            <w:r w:rsidR="004306CF" w:rsidRPr="000E32CA">
              <w:rPr>
                <w:rFonts w:ascii="Arial" w:hAnsi="Arial" w:cs="Arial"/>
                <w:sz w:val="20"/>
                <w:szCs w:val="20"/>
              </w:rPr>
              <w:t>utlay</w:t>
            </w:r>
          </w:p>
        </w:tc>
        <w:tc>
          <w:tcPr>
            <w:tcW w:w="1170" w:type="dxa"/>
            <w:tcBorders>
              <w:top w:val="nil"/>
            </w:tcBorders>
            <w:vAlign w:val="center"/>
          </w:tcPr>
          <w:p w:rsidR="004306CF" w:rsidRPr="000E32CA" w:rsidRDefault="004306CF" w:rsidP="00206EB6">
            <w:pPr>
              <w:ind w:left="-108" w:right="-18"/>
              <w:jc w:val="right"/>
              <w:rPr>
                <w:rFonts w:ascii="Arial" w:hAnsi="Arial" w:cs="Arial"/>
                <w:b/>
                <w:sz w:val="20"/>
                <w:szCs w:val="20"/>
              </w:rPr>
            </w:pPr>
            <w:r w:rsidRPr="000E32CA">
              <w:rPr>
                <w:rFonts w:ascii="Arial" w:hAnsi="Arial" w:cs="Arial"/>
                <w:sz w:val="20"/>
                <w:szCs w:val="20"/>
              </w:rPr>
              <w:t>239.039</w:t>
            </w:r>
          </w:p>
        </w:tc>
        <w:tc>
          <w:tcPr>
            <w:tcW w:w="1620" w:type="dxa"/>
            <w:gridSpan w:val="2"/>
            <w:tcBorders>
              <w:top w:val="nil"/>
            </w:tcBorders>
            <w:vAlign w:val="center"/>
          </w:tcPr>
          <w:p w:rsidR="004306CF" w:rsidRPr="000E32CA" w:rsidRDefault="00EB3C52" w:rsidP="00206EB6">
            <w:pPr>
              <w:ind w:left="-108" w:right="-108"/>
              <w:jc w:val="right"/>
              <w:rPr>
                <w:rFonts w:ascii="Arial" w:hAnsi="Arial" w:cs="Arial"/>
                <w:sz w:val="20"/>
                <w:szCs w:val="20"/>
              </w:rPr>
            </w:pPr>
            <w:r w:rsidRPr="000E32CA">
              <w:rPr>
                <w:rFonts w:ascii="Arial" w:hAnsi="Arial" w:cs="Arial"/>
                <w:sz w:val="20"/>
                <w:szCs w:val="20"/>
              </w:rPr>
              <w:t>170.963</w:t>
            </w:r>
          </w:p>
        </w:tc>
        <w:tc>
          <w:tcPr>
            <w:tcW w:w="1710" w:type="dxa"/>
            <w:tcBorders>
              <w:top w:val="nil"/>
            </w:tcBorders>
            <w:vAlign w:val="center"/>
          </w:tcPr>
          <w:p w:rsidR="004306CF" w:rsidRPr="000E32CA" w:rsidRDefault="00EB3C52" w:rsidP="000E32CA">
            <w:pPr>
              <w:tabs>
                <w:tab w:val="left" w:pos="1452"/>
              </w:tabs>
              <w:ind w:right="-18"/>
              <w:jc w:val="right"/>
              <w:rPr>
                <w:rFonts w:ascii="Arial" w:hAnsi="Arial" w:cs="Arial"/>
                <w:sz w:val="20"/>
                <w:szCs w:val="20"/>
              </w:rPr>
            </w:pPr>
            <w:r w:rsidRPr="000E32CA">
              <w:rPr>
                <w:rFonts w:ascii="Arial" w:hAnsi="Arial" w:cs="Arial"/>
                <w:sz w:val="20"/>
                <w:szCs w:val="20"/>
              </w:rPr>
              <w:t>68.076</w:t>
            </w:r>
          </w:p>
        </w:tc>
      </w:tr>
      <w:tr w:rsidR="00C15CE3" w:rsidRPr="000E32CA" w:rsidTr="00206EB6">
        <w:trPr>
          <w:trHeight w:val="274"/>
        </w:trPr>
        <w:tc>
          <w:tcPr>
            <w:tcW w:w="4140" w:type="dxa"/>
            <w:tcBorders>
              <w:top w:val="single" w:sz="4" w:space="0" w:color="000000"/>
            </w:tcBorders>
            <w:vAlign w:val="center"/>
          </w:tcPr>
          <w:p w:rsidR="00C15CE3" w:rsidRPr="000E32CA" w:rsidRDefault="00C15CE3" w:rsidP="002B6312">
            <w:pPr>
              <w:ind w:left="72"/>
              <w:rPr>
                <w:rFonts w:ascii="Arial" w:hAnsi="Arial" w:cs="Arial"/>
                <w:sz w:val="20"/>
                <w:szCs w:val="20"/>
              </w:rPr>
            </w:pPr>
          </w:p>
        </w:tc>
        <w:tc>
          <w:tcPr>
            <w:tcW w:w="1170" w:type="dxa"/>
            <w:tcBorders>
              <w:top w:val="single" w:sz="4" w:space="0" w:color="000000"/>
            </w:tcBorders>
            <w:vAlign w:val="center"/>
          </w:tcPr>
          <w:p w:rsidR="00C15CE3" w:rsidRPr="00B8527B" w:rsidRDefault="00EB3C52" w:rsidP="00206EB6">
            <w:pPr>
              <w:ind w:left="-108" w:right="-18"/>
              <w:jc w:val="right"/>
              <w:rPr>
                <w:rFonts w:ascii="Arial" w:hAnsi="Arial" w:cs="Arial"/>
                <w:sz w:val="20"/>
                <w:szCs w:val="20"/>
              </w:rPr>
            </w:pPr>
            <w:r w:rsidRPr="00B8527B">
              <w:rPr>
                <w:rFonts w:ascii="Arial" w:hAnsi="Arial" w:cs="Arial"/>
                <w:sz w:val="20"/>
                <w:szCs w:val="20"/>
              </w:rPr>
              <w:t>577.608</w:t>
            </w:r>
          </w:p>
        </w:tc>
        <w:tc>
          <w:tcPr>
            <w:tcW w:w="1620" w:type="dxa"/>
            <w:gridSpan w:val="2"/>
            <w:tcBorders>
              <w:top w:val="single" w:sz="4" w:space="0" w:color="000000"/>
            </w:tcBorders>
            <w:vAlign w:val="center"/>
          </w:tcPr>
          <w:p w:rsidR="00C15CE3" w:rsidRPr="00B8527B" w:rsidRDefault="00EB3C52" w:rsidP="00206EB6">
            <w:pPr>
              <w:ind w:left="-108" w:right="-108"/>
              <w:jc w:val="right"/>
              <w:rPr>
                <w:rFonts w:ascii="Arial" w:hAnsi="Arial" w:cs="Arial"/>
                <w:sz w:val="20"/>
                <w:szCs w:val="20"/>
              </w:rPr>
            </w:pPr>
            <w:r w:rsidRPr="00B8527B">
              <w:rPr>
                <w:rFonts w:ascii="Arial" w:hAnsi="Arial" w:cs="Arial"/>
                <w:sz w:val="20"/>
                <w:szCs w:val="20"/>
              </w:rPr>
              <w:t>474.453</w:t>
            </w:r>
          </w:p>
        </w:tc>
        <w:tc>
          <w:tcPr>
            <w:tcW w:w="1710" w:type="dxa"/>
            <w:tcBorders>
              <w:top w:val="single" w:sz="4" w:space="0" w:color="000000"/>
            </w:tcBorders>
            <w:vAlign w:val="center"/>
          </w:tcPr>
          <w:p w:rsidR="00C15CE3" w:rsidRPr="00B8527B" w:rsidRDefault="00EB3C52" w:rsidP="00A1015E">
            <w:pPr>
              <w:tabs>
                <w:tab w:val="left" w:pos="1452"/>
              </w:tabs>
              <w:jc w:val="right"/>
              <w:rPr>
                <w:rFonts w:ascii="Arial" w:hAnsi="Arial" w:cs="Arial"/>
                <w:sz w:val="20"/>
                <w:szCs w:val="20"/>
              </w:rPr>
            </w:pPr>
            <w:r w:rsidRPr="00B8527B">
              <w:rPr>
                <w:rFonts w:ascii="Arial" w:hAnsi="Arial" w:cs="Arial"/>
                <w:sz w:val="20"/>
                <w:szCs w:val="20"/>
              </w:rPr>
              <w:t>103.155</w:t>
            </w:r>
          </w:p>
        </w:tc>
      </w:tr>
    </w:tbl>
    <w:p w:rsidR="001D0AAB" w:rsidRDefault="00654727">
      <w:pPr>
        <w:rPr>
          <w:rFonts w:ascii="Arial" w:hAnsi="Arial" w:cs="Arial"/>
          <w:b/>
          <w:sz w:val="22"/>
          <w:szCs w:val="22"/>
        </w:rPr>
      </w:pPr>
      <w:r>
        <w:rPr>
          <w:rFonts w:ascii="Arial" w:hAnsi="Arial" w:cs="Arial"/>
          <w:b/>
          <w:sz w:val="22"/>
          <w:szCs w:val="22"/>
        </w:rPr>
        <w:lastRenderedPageBreak/>
        <w:t>SCOPE OF AUDIT</w:t>
      </w:r>
    </w:p>
    <w:p w:rsidR="00654727" w:rsidRDefault="00654727">
      <w:pPr>
        <w:rPr>
          <w:rFonts w:ascii="Arial" w:hAnsi="Arial" w:cs="Arial"/>
          <w:b/>
          <w:sz w:val="22"/>
          <w:szCs w:val="22"/>
        </w:rPr>
      </w:pPr>
    </w:p>
    <w:p w:rsidR="00654727" w:rsidRPr="00F8524C" w:rsidRDefault="00654727" w:rsidP="00654727">
      <w:pPr>
        <w:jc w:val="both"/>
        <w:rPr>
          <w:rFonts w:ascii="Arial" w:hAnsi="Arial" w:cs="Arial"/>
          <w:sz w:val="22"/>
          <w:szCs w:val="22"/>
        </w:rPr>
      </w:pPr>
      <w:r>
        <w:rPr>
          <w:rFonts w:ascii="Arial" w:hAnsi="Arial" w:cs="Arial"/>
          <w:sz w:val="22"/>
          <w:szCs w:val="22"/>
        </w:rPr>
        <w:t>Our</w:t>
      </w:r>
      <w:r w:rsidRPr="00F8524C">
        <w:rPr>
          <w:rFonts w:ascii="Arial" w:hAnsi="Arial" w:cs="Arial"/>
          <w:sz w:val="22"/>
          <w:szCs w:val="22"/>
        </w:rPr>
        <w:t xml:space="preserve"> au</w:t>
      </w:r>
      <w:r>
        <w:rPr>
          <w:rFonts w:ascii="Arial" w:hAnsi="Arial" w:cs="Arial"/>
          <w:sz w:val="22"/>
          <w:szCs w:val="22"/>
        </w:rPr>
        <w:t>dit covered the operations of NT</w:t>
      </w:r>
      <w:r w:rsidRPr="00F8524C">
        <w:rPr>
          <w:rFonts w:ascii="Arial" w:hAnsi="Arial" w:cs="Arial"/>
          <w:sz w:val="22"/>
          <w:szCs w:val="22"/>
        </w:rPr>
        <w:t xml:space="preserve">A for </w:t>
      </w:r>
      <w:r>
        <w:rPr>
          <w:rFonts w:ascii="Arial" w:hAnsi="Arial" w:cs="Arial"/>
          <w:sz w:val="22"/>
          <w:szCs w:val="22"/>
        </w:rPr>
        <w:t>Calendar Year (</w:t>
      </w:r>
      <w:r w:rsidRPr="00F8524C">
        <w:rPr>
          <w:rFonts w:ascii="Arial" w:hAnsi="Arial" w:cs="Arial"/>
          <w:sz w:val="22"/>
          <w:szCs w:val="22"/>
        </w:rPr>
        <w:t>CY</w:t>
      </w:r>
      <w:r>
        <w:rPr>
          <w:rFonts w:ascii="Arial" w:hAnsi="Arial" w:cs="Arial"/>
          <w:sz w:val="22"/>
          <w:szCs w:val="22"/>
        </w:rPr>
        <w:t>)</w:t>
      </w:r>
      <w:r w:rsidRPr="00F8524C">
        <w:rPr>
          <w:rFonts w:ascii="Arial" w:hAnsi="Arial" w:cs="Arial"/>
          <w:sz w:val="22"/>
          <w:szCs w:val="22"/>
        </w:rPr>
        <w:t xml:space="preserve"> 201</w:t>
      </w:r>
      <w:r>
        <w:rPr>
          <w:rFonts w:ascii="Arial" w:hAnsi="Arial" w:cs="Arial"/>
          <w:sz w:val="22"/>
          <w:szCs w:val="22"/>
        </w:rPr>
        <w:t>3</w:t>
      </w:r>
      <w:r w:rsidRPr="00F8524C">
        <w:rPr>
          <w:rFonts w:ascii="Arial" w:hAnsi="Arial" w:cs="Arial"/>
          <w:sz w:val="22"/>
          <w:szCs w:val="22"/>
        </w:rPr>
        <w:t xml:space="preserve">.  </w:t>
      </w:r>
      <w:r>
        <w:rPr>
          <w:rFonts w:ascii="Arial" w:hAnsi="Arial" w:cs="Arial"/>
          <w:sz w:val="22"/>
          <w:szCs w:val="22"/>
        </w:rPr>
        <w:t>Our</w:t>
      </w:r>
      <w:r w:rsidRPr="00F8524C">
        <w:rPr>
          <w:rFonts w:ascii="Arial" w:hAnsi="Arial" w:cs="Arial"/>
          <w:sz w:val="22"/>
          <w:szCs w:val="22"/>
        </w:rPr>
        <w:t xml:space="preserve"> audit involved performing procedures to obtain audit evidence about the amounts and disclosures in the financial statements.  The procedures selected depend on the auditor’s judgment, including the assessment of the risks of material misstatement of the financial sta</w:t>
      </w:r>
      <w:r>
        <w:rPr>
          <w:rFonts w:ascii="Arial" w:hAnsi="Arial" w:cs="Arial"/>
          <w:sz w:val="22"/>
          <w:szCs w:val="22"/>
        </w:rPr>
        <w:t>tements, whether due to fraud or</w:t>
      </w:r>
      <w:r w:rsidRPr="00F8524C">
        <w:rPr>
          <w:rFonts w:ascii="Arial" w:hAnsi="Arial" w:cs="Arial"/>
          <w:sz w:val="22"/>
          <w:szCs w:val="22"/>
        </w:rPr>
        <w:t xml:space="preserve"> error.</w:t>
      </w:r>
    </w:p>
    <w:p w:rsidR="00654727" w:rsidRDefault="00654727" w:rsidP="00654727">
      <w:pPr>
        <w:rPr>
          <w:rFonts w:ascii="Arial" w:hAnsi="Arial" w:cs="Arial"/>
          <w:sz w:val="22"/>
          <w:szCs w:val="22"/>
        </w:rPr>
      </w:pPr>
    </w:p>
    <w:p w:rsidR="00213705" w:rsidRDefault="00213705" w:rsidP="00654727">
      <w:pPr>
        <w:rPr>
          <w:rFonts w:ascii="Arial" w:hAnsi="Arial" w:cs="Arial"/>
          <w:sz w:val="22"/>
          <w:szCs w:val="22"/>
        </w:rPr>
      </w:pPr>
    </w:p>
    <w:p w:rsidR="00654727" w:rsidRDefault="00654727">
      <w:pPr>
        <w:rPr>
          <w:rFonts w:ascii="Arial" w:hAnsi="Arial" w:cs="Arial"/>
          <w:b/>
          <w:sz w:val="22"/>
          <w:szCs w:val="22"/>
        </w:rPr>
      </w:pPr>
      <w:r>
        <w:rPr>
          <w:rFonts w:ascii="Arial" w:hAnsi="Arial" w:cs="Arial"/>
          <w:b/>
          <w:sz w:val="22"/>
          <w:szCs w:val="22"/>
        </w:rPr>
        <w:t>AUDITOR’S OPINION</w:t>
      </w:r>
    </w:p>
    <w:p w:rsidR="007F5811" w:rsidRDefault="007F5811" w:rsidP="001D0AAB"/>
    <w:p w:rsidR="00213705" w:rsidRDefault="00213705" w:rsidP="00213705">
      <w:pPr>
        <w:pStyle w:val="ListParagraph"/>
        <w:ind w:left="0"/>
        <w:jc w:val="both"/>
        <w:rPr>
          <w:rFonts w:ascii="Arial" w:hAnsi="Arial" w:cs="Arial"/>
          <w:color w:val="000000"/>
          <w:sz w:val="22"/>
          <w:szCs w:val="22"/>
        </w:rPr>
      </w:pPr>
      <w:r>
        <w:rPr>
          <w:rFonts w:ascii="Arial" w:hAnsi="Arial" w:cs="Arial"/>
          <w:color w:val="000000"/>
          <w:sz w:val="22"/>
          <w:szCs w:val="22"/>
        </w:rPr>
        <w:t>We rendered a qualified opinion on the fairness of the presentation of the financial statements in view of the following:</w:t>
      </w:r>
    </w:p>
    <w:p w:rsidR="00213705" w:rsidRDefault="00213705" w:rsidP="00213705">
      <w:pPr>
        <w:pStyle w:val="ListParagraph"/>
        <w:ind w:left="0"/>
        <w:jc w:val="both"/>
        <w:rPr>
          <w:rFonts w:ascii="Arial" w:hAnsi="Arial" w:cs="Arial"/>
          <w:color w:val="000000"/>
          <w:sz w:val="22"/>
          <w:szCs w:val="22"/>
        </w:rPr>
      </w:pPr>
    </w:p>
    <w:p w:rsidR="00213705" w:rsidRDefault="00213705" w:rsidP="00B8527B">
      <w:pPr>
        <w:pStyle w:val="ListParagraph"/>
        <w:tabs>
          <w:tab w:val="left" w:pos="540"/>
        </w:tabs>
        <w:ind w:left="0"/>
        <w:jc w:val="both"/>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T</w:t>
      </w:r>
      <w:r w:rsidRPr="00A757EC">
        <w:rPr>
          <w:rFonts w:ascii="Arial" w:hAnsi="Arial" w:cs="Arial"/>
          <w:color w:val="000000"/>
          <w:sz w:val="22"/>
          <w:szCs w:val="22"/>
        </w:rPr>
        <w:t>he completeness, accuracy and existence of the Property, Plant and Equipment (PPE)  account</w:t>
      </w:r>
      <w:r>
        <w:rPr>
          <w:rFonts w:ascii="Arial" w:hAnsi="Arial" w:cs="Arial"/>
          <w:color w:val="000000"/>
          <w:sz w:val="22"/>
          <w:szCs w:val="22"/>
        </w:rPr>
        <w:t xml:space="preserve"> </w:t>
      </w:r>
      <w:r w:rsidRPr="00A757EC">
        <w:rPr>
          <w:rFonts w:ascii="Arial" w:hAnsi="Arial" w:cs="Arial"/>
          <w:color w:val="000000"/>
          <w:sz w:val="22"/>
          <w:szCs w:val="22"/>
        </w:rPr>
        <w:t>with net book value of P466.82</w:t>
      </w:r>
      <w:r w:rsidR="00B8527B">
        <w:rPr>
          <w:rFonts w:ascii="Arial" w:hAnsi="Arial" w:cs="Arial"/>
          <w:color w:val="000000"/>
          <w:sz w:val="22"/>
          <w:szCs w:val="22"/>
        </w:rPr>
        <w:t>1</w:t>
      </w:r>
      <w:r w:rsidRPr="00A757EC">
        <w:rPr>
          <w:rFonts w:ascii="Arial" w:hAnsi="Arial" w:cs="Arial"/>
          <w:color w:val="000000"/>
          <w:sz w:val="22"/>
          <w:szCs w:val="22"/>
        </w:rPr>
        <w:t xml:space="preserve"> million as at year-end could not be ascertained due to discrepancy of P11.587 million between inventory report and book balances in the Central and Batac Branch Offices; PPE Ledger Cards (PPELC</w:t>
      </w:r>
      <w:r w:rsidR="00CB1E8A">
        <w:rPr>
          <w:rFonts w:ascii="Arial" w:hAnsi="Arial" w:cs="Arial"/>
          <w:color w:val="000000"/>
          <w:sz w:val="22"/>
          <w:szCs w:val="22"/>
        </w:rPr>
        <w:t>s</w:t>
      </w:r>
      <w:r w:rsidRPr="00A757EC">
        <w:rPr>
          <w:rFonts w:ascii="Arial" w:hAnsi="Arial" w:cs="Arial"/>
          <w:color w:val="000000"/>
          <w:sz w:val="22"/>
          <w:szCs w:val="22"/>
        </w:rPr>
        <w:t>)</w:t>
      </w:r>
      <w:r>
        <w:rPr>
          <w:rFonts w:ascii="Arial" w:hAnsi="Arial" w:cs="Arial"/>
          <w:color w:val="000000"/>
          <w:sz w:val="22"/>
          <w:szCs w:val="22"/>
        </w:rPr>
        <w:t xml:space="preserve"> </w:t>
      </w:r>
      <w:r w:rsidRPr="00A757EC">
        <w:rPr>
          <w:rFonts w:ascii="Arial" w:hAnsi="Arial" w:cs="Arial"/>
          <w:color w:val="000000"/>
          <w:sz w:val="22"/>
          <w:szCs w:val="22"/>
        </w:rPr>
        <w:t>are not updated; and deficiencies in the titling, appraisal and ownership of claimed parcels of land covering 10,825,939 square meters.</w:t>
      </w:r>
    </w:p>
    <w:p w:rsidR="00213705" w:rsidRDefault="00213705" w:rsidP="00213705">
      <w:pPr>
        <w:pStyle w:val="ListParagraph"/>
        <w:ind w:left="0"/>
        <w:jc w:val="both"/>
        <w:rPr>
          <w:rFonts w:ascii="Arial" w:hAnsi="Arial" w:cs="Arial"/>
          <w:color w:val="000000"/>
          <w:sz w:val="22"/>
          <w:szCs w:val="22"/>
        </w:rPr>
      </w:pPr>
    </w:p>
    <w:p w:rsidR="00213705" w:rsidRPr="00CB4180" w:rsidRDefault="00213705" w:rsidP="00B8527B">
      <w:pPr>
        <w:pStyle w:val="ListParagraph"/>
        <w:tabs>
          <w:tab w:val="left" w:pos="540"/>
        </w:tabs>
        <w:ind w:left="0"/>
        <w:jc w:val="both"/>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r>
      <w:r w:rsidRPr="00CB4180">
        <w:rPr>
          <w:rFonts w:ascii="Arial" w:hAnsi="Arial" w:cs="Arial"/>
          <w:color w:val="000000"/>
          <w:sz w:val="22"/>
          <w:szCs w:val="22"/>
        </w:rPr>
        <w:t>The Receivables, Other Assets, Prepayments and Other Current Assets accounts of P300.481 million, P84.803 million, P5.069 million and P0.954 million, respectively, have been dormant for more than 5 to 26 years, the collectability of most of which is already remote, and the lack of subsidiary ledgers for P25.970 million rendered doubtful the validity and reliability of the total year-end balances of these accounts of P391.307 million.</w:t>
      </w:r>
    </w:p>
    <w:p w:rsidR="00213705" w:rsidRPr="00CB4180" w:rsidRDefault="00213705" w:rsidP="00213705">
      <w:pPr>
        <w:pStyle w:val="ListParagraph"/>
        <w:ind w:left="0"/>
        <w:jc w:val="both"/>
        <w:rPr>
          <w:rFonts w:ascii="Arial" w:hAnsi="Arial" w:cs="Arial"/>
          <w:color w:val="000000"/>
          <w:sz w:val="22"/>
          <w:szCs w:val="22"/>
        </w:rPr>
      </w:pPr>
    </w:p>
    <w:p w:rsidR="00213705" w:rsidRPr="00CB4180" w:rsidRDefault="00213705" w:rsidP="00B8527B">
      <w:pPr>
        <w:pStyle w:val="ListParagraph"/>
        <w:tabs>
          <w:tab w:val="left" w:pos="540"/>
        </w:tabs>
        <w:ind w:left="0"/>
        <w:jc w:val="both"/>
        <w:rPr>
          <w:rFonts w:ascii="Arial" w:hAnsi="Arial" w:cs="Arial"/>
          <w:color w:val="000000"/>
          <w:sz w:val="22"/>
          <w:szCs w:val="22"/>
        </w:rPr>
      </w:pPr>
      <w:r w:rsidRPr="00CB4180">
        <w:rPr>
          <w:rFonts w:ascii="Arial" w:hAnsi="Arial" w:cs="Arial"/>
          <w:color w:val="000000"/>
          <w:sz w:val="22"/>
          <w:szCs w:val="22"/>
        </w:rPr>
        <w:t>3.</w:t>
      </w:r>
      <w:r w:rsidRPr="00CB4180">
        <w:rPr>
          <w:rFonts w:ascii="Arial" w:hAnsi="Arial" w:cs="Arial"/>
          <w:color w:val="000000"/>
          <w:sz w:val="22"/>
          <w:szCs w:val="22"/>
        </w:rPr>
        <w:tab/>
        <w:t>The non-recognition of capitalized interest on loan with the Philippine Deposit Insurance Corporation (PDIC) amounting to P62.541 million understated the Notes Payable account</w:t>
      </w:r>
      <w:r w:rsidR="00813CB0">
        <w:rPr>
          <w:rFonts w:ascii="Arial" w:hAnsi="Arial" w:cs="Arial"/>
          <w:color w:val="000000"/>
          <w:sz w:val="22"/>
          <w:szCs w:val="22"/>
        </w:rPr>
        <w:t>;</w:t>
      </w:r>
      <w:r w:rsidRPr="00CB4180">
        <w:rPr>
          <w:rFonts w:ascii="Arial" w:hAnsi="Arial" w:cs="Arial"/>
          <w:color w:val="000000"/>
          <w:sz w:val="22"/>
          <w:szCs w:val="22"/>
        </w:rPr>
        <w:t xml:space="preserve"> while the discrepancy of P5.984 million between the balances per books and statement of account from PDIC of P72.745 million and P78.729 million, respectively, rendered the account balance doubtful</w:t>
      </w:r>
      <w:r>
        <w:rPr>
          <w:rFonts w:ascii="Arial" w:hAnsi="Arial" w:cs="Arial"/>
          <w:color w:val="000000"/>
          <w:sz w:val="22"/>
          <w:szCs w:val="22"/>
        </w:rPr>
        <w:t>.</w:t>
      </w:r>
    </w:p>
    <w:p w:rsidR="00472C4A" w:rsidRDefault="00472C4A" w:rsidP="007F5811">
      <w:pPr>
        <w:jc w:val="both"/>
        <w:rPr>
          <w:rFonts w:ascii="Arial" w:hAnsi="Arial"/>
          <w:sz w:val="22"/>
        </w:rPr>
      </w:pPr>
    </w:p>
    <w:p w:rsidR="007F5811" w:rsidRDefault="007F5811" w:rsidP="007F5811">
      <w:pPr>
        <w:jc w:val="both"/>
        <w:rPr>
          <w:rFonts w:ascii="Arial" w:hAnsi="Arial"/>
          <w:sz w:val="22"/>
        </w:rPr>
      </w:pPr>
    </w:p>
    <w:p w:rsidR="001D0AAB" w:rsidRPr="007F5811" w:rsidRDefault="001D0AAB" w:rsidP="001D0AAB">
      <w:pPr>
        <w:rPr>
          <w:rFonts w:ascii="Arial" w:hAnsi="Arial" w:cs="Arial"/>
          <w:b/>
          <w:sz w:val="22"/>
          <w:szCs w:val="22"/>
        </w:rPr>
      </w:pPr>
      <w:r w:rsidRPr="007F5811">
        <w:rPr>
          <w:rFonts w:ascii="Arial" w:hAnsi="Arial" w:cs="Arial"/>
          <w:b/>
          <w:sz w:val="22"/>
          <w:szCs w:val="22"/>
        </w:rPr>
        <w:t xml:space="preserve">SUMMARY OF SIGNIFICANT AUDIT OBSERVATIONS AND RECOMMENDATIONS </w:t>
      </w:r>
    </w:p>
    <w:p w:rsidR="001D0AAB" w:rsidRPr="00DB0C3B" w:rsidRDefault="001D0AAB" w:rsidP="001D0AAB">
      <w:pPr>
        <w:rPr>
          <w:rFonts w:ascii="Arial" w:hAnsi="Arial" w:cs="Arial"/>
          <w:sz w:val="22"/>
          <w:szCs w:val="22"/>
        </w:rPr>
      </w:pPr>
    </w:p>
    <w:p w:rsidR="001D0AAB" w:rsidRPr="00DB0C3B" w:rsidRDefault="001D0AAB" w:rsidP="001D0AAB">
      <w:pPr>
        <w:jc w:val="both"/>
        <w:rPr>
          <w:rFonts w:ascii="Arial" w:hAnsi="Arial" w:cs="Arial"/>
          <w:sz w:val="22"/>
          <w:szCs w:val="22"/>
        </w:rPr>
      </w:pPr>
      <w:r w:rsidRPr="00DB0C3B">
        <w:rPr>
          <w:rFonts w:ascii="Arial" w:eastAsia="Calibri" w:hAnsi="Arial" w:cs="Arial"/>
          <w:sz w:val="22"/>
          <w:szCs w:val="22"/>
        </w:rPr>
        <w:t xml:space="preserve">For the above-mentioned observations which caused the issuance of a qualified opinion, we recommended the following: </w:t>
      </w:r>
    </w:p>
    <w:p w:rsidR="001D0AAB" w:rsidRPr="00DB0C3B" w:rsidRDefault="001D0AAB" w:rsidP="001D0AAB">
      <w:pPr>
        <w:jc w:val="both"/>
        <w:rPr>
          <w:rFonts w:ascii="Arial" w:hAnsi="Arial" w:cs="Arial"/>
          <w:sz w:val="22"/>
          <w:szCs w:val="22"/>
        </w:rPr>
      </w:pPr>
    </w:p>
    <w:p w:rsidR="00FC1516" w:rsidRPr="00FC1516" w:rsidRDefault="00FC1516" w:rsidP="00813CB0">
      <w:pPr>
        <w:tabs>
          <w:tab w:val="left" w:pos="540"/>
          <w:tab w:val="left" w:pos="720"/>
          <w:tab w:val="left" w:pos="1440"/>
        </w:tabs>
        <w:jc w:val="both"/>
        <w:rPr>
          <w:rFonts w:ascii="Arial" w:hAnsi="Arial" w:cs="Arial"/>
          <w:sz w:val="22"/>
          <w:szCs w:val="22"/>
        </w:rPr>
      </w:pPr>
      <w:r w:rsidRPr="00813CB0">
        <w:rPr>
          <w:rFonts w:ascii="Arial" w:hAnsi="Arial" w:cs="Arial"/>
          <w:sz w:val="22"/>
          <w:szCs w:val="22"/>
        </w:rPr>
        <w:t>1</w:t>
      </w:r>
      <w:r w:rsidRPr="00FC1516">
        <w:rPr>
          <w:rFonts w:ascii="Arial" w:hAnsi="Arial" w:cs="Arial"/>
        </w:rPr>
        <w:t>.</w:t>
      </w:r>
      <w:r w:rsidRPr="00FC1516">
        <w:rPr>
          <w:rFonts w:ascii="Arial" w:hAnsi="Arial" w:cs="Arial"/>
        </w:rPr>
        <w:tab/>
      </w:r>
      <w:r w:rsidRPr="00FC1516">
        <w:rPr>
          <w:rFonts w:ascii="Arial" w:hAnsi="Arial" w:cs="Arial"/>
          <w:sz w:val="22"/>
          <w:szCs w:val="22"/>
        </w:rPr>
        <w:t>On the discrepancy between books and inventory reports:</w:t>
      </w:r>
    </w:p>
    <w:p w:rsidR="00FC1516" w:rsidRPr="00FC1516" w:rsidRDefault="00FC1516" w:rsidP="00FC1516">
      <w:pPr>
        <w:pStyle w:val="ListParagraph"/>
        <w:tabs>
          <w:tab w:val="left" w:pos="1260"/>
        </w:tabs>
        <w:jc w:val="both"/>
        <w:rPr>
          <w:rFonts w:ascii="Arial" w:hAnsi="Arial" w:cs="Arial"/>
          <w:sz w:val="22"/>
          <w:szCs w:val="22"/>
        </w:rPr>
      </w:pPr>
    </w:p>
    <w:p w:rsidR="00FC1516" w:rsidRPr="00FC1516" w:rsidRDefault="00FC1516" w:rsidP="00813CB0">
      <w:pPr>
        <w:pStyle w:val="ListParagraph"/>
        <w:tabs>
          <w:tab w:val="left" w:pos="540"/>
          <w:tab w:val="left" w:pos="1080"/>
          <w:tab w:val="left" w:pos="1440"/>
        </w:tabs>
        <w:ind w:left="540"/>
        <w:jc w:val="both"/>
        <w:rPr>
          <w:rFonts w:ascii="Arial" w:hAnsi="Arial" w:cs="Arial"/>
          <w:sz w:val="22"/>
          <w:szCs w:val="22"/>
        </w:rPr>
      </w:pPr>
      <w:r>
        <w:rPr>
          <w:rFonts w:ascii="Arial" w:hAnsi="Arial" w:cs="Arial"/>
          <w:sz w:val="22"/>
          <w:szCs w:val="22"/>
        </w:rPr>
        <w:t>1</w:t>
      </w:r>
      <w:r w:rsidRPr="00FC1516">
        <w:rPr>
          <w:rFonts w:ascii="Arial" w:hAnsi="Arial" w:cs="Arial"/>
          <w:sz w:val="22"/>
          <w:szCs w:val="22"/>
        </w:rPr>
        <w:t>.1</w:t>
      </w:r>
      <w:r w:rsidRPr="00FC1516">
        <w:rPr>
          <w:rFonts w:ascii="Arial" w:hAnsi="Arial" w:cs="Arial"/>
          <w:sz w:val="22"/>
          <w:szCs w:val="22"/>
        </w:rPr>
        <w:tab/>
        <w:t>Require the concerned Accountants and the Property Officers to reconcile and submit reconciliation statement for the variance of P11.587 million between accounting records and inventory report;</w:t>
      </w:r>
    </w:p>
    <w:p w:rsidR="00FC1516" w:rsidRPr="00FC1516" w:rsidRDefault="00FC1516" w:rsidP="00813CB0">
      <w:pPr>
        <w:pStyle w:val="ListParagraph"/>
        <w:tabs>
          <w:tab w:val="left" w:pos="540"/>
          <w:tab w:val="left" w:pos="1260"/>
          <w:tab w:val="left" w:pos="1800"/>
        </w:tabs>
        <w:jc w:val="both"/>
        <w:rPr>
          <w:rFonts w:ascii="Arial" w:hAnsi="Arial" w:cs="Arial"/>
          <w:sz w:val="22"/>
          <w:szCs w:val="22"/>
        </w:rPr>
      </w:pPr>
    </w:p>
    <w:p w:rsidR="00FC1516" w:rsidRPr="00FC1516" w:rsidRDefault="00FC1516" w:rsidP="00813CB0">
      <w:pPr>
        <w:pStyle w:val="ListParagraph"/>
        <w:tabs>
          <w:tab w:val="left" w:pos="540"/>
          <w:tab w:val="left" w:pos="1080"/>
          <w:tab w:val="left" w:pos="1440"/>
          <w:tab w:val="left" w:pos="1800"/>
        </w:tabs>
        <w:ind w:left="540"/>
        <w:jc w:val="both"/>
        <w:rPr>
          <w:rFonts w:ascii="Arial" w:hAnsi="Arial" w:cs="Arial"/>
          <w:sz w:val="22"/>
          <w:szCs w:val="22"/>
        </w:rPr>
      </w:pPr>
      <w:r>
        <w:rPr>
          <w:rFonts w:ascii="Arial" w:hAnsi="Arial" w:cs="Arial"/>
          <w:sz w:val="22"/>
          <w:szCs w:val="22"/>
        </w:rPr>
        <w:t>1</w:t>
      </w:r>
      <w:r w:rsidRPr="00FC1516">
        <w:rPr>
          <w:rFonts w:ascii="Arial" w:hAnsi="Arial" w:cs="Arial"/>
          <w:sz w:val="22"/>
          <w:szCs w:val="22"/>
        </w:rPr>
        <w:t xml:space="preserve">.2 </w:t>
      </w:r>
      <w:r w:rsidR="00CB1E8A">
        <w:rPr>
          <w:rFonts w:ascii="Arial" w:hAnsi="Arial" w:cs="Arial"/>
          <w:sz w:val="22"/>
          <w:szCs w:val="22"/>
        </w:rPr>
        <w:tab/>
      </w:r>
      <w:r w:rsidRPr="00FC1516">
        <w:rPr>
          <w:rFonts w:ascii="Arial" w:hAnsi="Arial" w:cs="Arial"/>
          <w:sz w:val="22"/>
          <w:szCs w:val="22"/>
        </w:rPr>
        <w:t xml:space="preserve"> Require the Central Office Property Officer to furnish the Accountant with I</w:t>
      </w:r>
      <w:r>
        <w:rPr>
          <w:rFonts w:ascii="Arial" w:hAnsi="Arial" w:cs="Arial"/>
          <w:sz w:val="22"/>
          <w:szCs w:val="22"/>
        </w:rPr>
        <w:t xml:space="preserve">nventory and </w:t>
      </w:r>
      <w:r w:rsidRPr="00FC1516">
        <w:rPr>
          <w:rFonts w:ascii="Arial" w:hAnsi="Arial" w:cs="Arial"/>
          <w:sz w:val="22"/>
          <w:szCs w:val="22"/>
        </w:rPr>
        <w:t>I</w:t>
      </w:r>
      <w:r>
        <w:rPr>
          <w:rFonts w:ascii="Arial" w:hAnsi="Arial" w:cs="Arial"/>
          <w:sz w:val="22"/>
          <w:szCs w:val="22"/>
        </w:rPr>
        <w:t xml:space="preserve">nspection </w:t>
      </w:r>
      <w:r w:rsidRPr="00FC1516">
        <w:rPr>
          <w:rFonts w:ascii="Arial" w:hAnsi="Arial" w:cs="Arial"/>
          <w:sz w:val="22"/>
          <w:szCs w:val="22"/>
        </w:rPr>
        <w:t>R</w:t>
      </w:r>
      <w:r>
        <w:rPr>
          <w:rFonts w:ascii="Arial" w:hAnsi="Arial" w:cs="Arial"/>
          <w:sz w:val="22"/>
          <w:szCs w:val="22"/>
        </w:rPr>
        <w:t>eport o</w:t>
      </w:r>
      <w:r w:rsidR="00F02AD5">
        <w:rPr>
          <w:rFonts w:ascii="Arial" w:hAnsi="Arial" w:cs="Arial"/>
          <w:sz w:val="22"/>
          <w:szCs w:val="22"/>
        </w:rPr>
        <w:t>f</w:t>
      </w:r>
      <w:r>
        <w:rPr>
          <w:rFonts w:ascii="Arial" w:hAnsi="Arial" w:cs="Arial"/>
          <w:sz w:val="22"/>
          <w:szCs w:val="22"/>
        </w:rPr>
        <w:t xml:space="preserve"> </w:t>
      </w:r>
      <w:r w:rsidRPr="00FC1516">
        <w:rPr>
          <w:rFonts w:ascii="Arial" w:hAnsi="Arial" w:cs="Arial"/>
          <w:sz w:val="22"/>
          <w:szCs w:val="22"/>
        </w:rPr>
        <w:t>U</w:t>
      </w:r>
      <w:r>
        <w:rPr>
          <w:rFonts w:ascii="Arial" w:hAnsi="Arial" w:cs="Arial"/>
          <w:sz w:val="22"/>
          <w:szCs w:val="22"/>
        </w:rPr>
        <w:t>nserviceable Property (IIRUP)</w:t>
      </w:r>
      <w:r w:rsidRPr="00FC1516">
        <w:rPr>
          <w:rFonts w:ascii="Arial" w:hAnsi="Arial" w:cs="Arial"/>
          <w:sz w:val="22"/>
          <w:szCs w:val="22"/>
        </w:rPr>
        <w:t xml:space="preserve"> and other documents pertinent to the disposal of unserviceable properties as basis of the latter in derecognizing assets already disposed in the books;</w:t>
      </w:r>
    </w:p>
    <w:p w:rsidR="00FC1516" w:rsidRPr="00FC1516" w:rsidRDefault="00FC1516" w:rsidP="00FC1516">
      <w:pPr>
        <w:pStyle w:val="ListParagraph"/>
        <w:tabs>
          <w:tab w:val="left" w:pos="1260"/>
          <w:tab w:val="left" w:pos="1800"/>
        </w:tabs>
        <w:ind w:firstLine="540"/>
        <w:jc w:val="both"/>
        <w:rPr>
          <w:rFonts w:ascii="Arial" w:hAnsi="Arial" w:cs="Arial"/>
          <w:sz w:val="22"/>
          <w:szCs w:val="22"/>
        </w:rPr>
      </w:pPr>
    </w:p>
    <w:p w:rsidR="00FC1516" w:rsidRPr="00FC1516" w:rsidRDefault="00FC1516" w:rsidP="00813CB0">
      <w:pPr>
        <w:pStyle w:val="ListParagraph"/>
        <w:tabs>
          <w:tab w:val="left" w:pos="1080"/>
          <w:tab w:val="left" w:pos="1440"/>
        </w:tabs>
        <w:ind w:left="540"/>
        <w:jc w:val="both"/>
        <w:rPr>
          <w:rFonts w:ascii="Arial" w:hAnsi="Arial" w:cs="Arial"/>
          <w:sz w:val="22"/>
          <w:szCs w:val="22"/>
        </w:rPr>
      </w:pPr>
      <w:r>
        <w:rPr>
          <w:rFonts w:ascii="Arial" w:hAnsi="Arial" w:cs="Arial"/>
          <w:sz w:val="22"/>
          <w:szCs w:val="22"/>
        </w:rPr>
        <w:lastRenderedPageBreak/>
        <w:t>1</w:t>
      </w:r>
      <w:r w:rsidRPr="00FC1516">
        <w:rPr>
          <w:rFonts w:ascii="Arial" w:hAnsi="Arial" w:cs="Arial"/>
          <w:sz w:val="22"/>
          <w:szCs w:val="22"/>
        </w:rPr>
        <w:t xml:space="preserve">.3 </w:t>
      </w:r>
      <w:r w:rsidRPr="00FC1516">
        <w:rPr>
          <w:rFonts w:ascii="Arial" w:hAnsi="Arial" w:cs="Arial"/>
          <w:sz w:val="22"/>
          <w:szCs w:val="22"/>
        </w:rPr>
        <w:tab/>
        <w:t>Instruct the Central Office Accountant to review the entries made on the disposal thru sale of unserviceable properties and adjust the books accordingly;</w:t>
      </w:r>
      <w:r>
        <w:rPr>
          <w:rFonts w:ascii="Arial" w:hAnsi="Arial" w:cs="Arial"/>
          <w:sz w:val="22"/>
          <w:szCs w:val="22"/>
        </w:rPr>
        <w:t xml:space="preserve"> </w:t>
      </w:r>
      <w:r w:rsidRPr="00FC1516">
        <w:rPr>
          <w:rFonts w:ascii="Arial" w:hAnsi="Arial" w:cs="Arial"/>
          <w:sz w:val="22"/>
          <w:szCs w:val="22"/>
        </w:rPr>
        <w:t>and</w:t>
      </w:r>
    </w:p>
    <w:p w:rsidR="00FC1516" w:rsidRPr="00FC1516" w:rsidRDefault="00FC1516" w:rsidP="00813CB0">
      <w:pPr>
        <w:pStyle w:val="ListParagraph"/>
        <w:tabs>
          <w:tab w:val="left" w:pos="1260"/>
          <w:tab w:val="left" w:pos="1800"/>
        </w:tabs>
        <w:ind w:left="540"/>
        <w:jc w:val="both"/>
        <w:rPr>
          <w:rFonts w:ascii="Arial" w:hAnsi="Arial" w:cs="Arial"/>
          <w:sz w:val="22"/>
          <w:szCs w:val="22"/>
        </w:rPr>
      </w:pPr>
    </w:p>
    <w:p w:rsidR="00FC1516" w:rsidRPr="00FC1516" w:rsidRDefault="00FC1516" w:rsidP="00813CB0">
      <w:pPr>
        <w:pStyle w:val="ListParagraph"/>
        <w:tabs>
          <w:tab w:val="left" w:pos="1080"/>
          <w:tab w:val="left" w:pos="1440"/>
        </w:tabs>
        <w:ind w:left="540"/>
        <w:jc w:val="both"/>
        <w:rPr>
          <w:sz w:val="22"/>
          <w:szCs w:val="22"/>
        </w:rPr>
      </w:pPr>
      <w:r>
        <w:rPr>
          <w:rFonts w:ascii="Arial" w:hAnsi="Arial" w:cs="Arial"/>
          <w:sz w:val="22"/>
          <w:szCs w:val="22"/>
        </w:rPr>
        <w:t>1</w:t>
      </w:r>
      <w:r w:rsidRPr="00FC1516">
        <w:rPr>
          <w:rFonts w:ascii="Arial" w:hAnsi="Arial" w:cs="Arial"/>
          <w:sz w:val="22"/>
          <w:szCs w:val="22"/>
        </w:rPr>
        <w:t>.4</w:t>
      </w:r>
      <w:r w:rsidRPr="00FC1516">
        <w:rPr>
          <w:rFonts w:ascii="Arial" w:hAnsi="Arial" w:cs="Arial"/>
          <w:sz w:val="22"/>
          <w:szCs w:val="22"/>
        </w:rPr>
        <w:tab/>
        <w:t xml:space="preserve">Require the </w:t>
      </w:r>
      <w:r>
        <w:rPr>
          <w:rFonts w:ascii="Arial" w:hAnsi="Arial" w:cs="Arial"/>
          <w:sz w:val="22"/>
          <w:szCs w:val="22"/>
        </w:rPr>
        <w:t>Property Officer in Batac Branch O</w:t>
      </w:r>
      <w:r w:rsidRPr="00FC1516">
        <w:rPr>
          <w:rFonts w:ascii="Arial" w:hAnsi="Arial" w:cs="Arial"/>
          <w:sz w:val="22"/>
          <w:szCs w:val="22"/>
        </w:rPr>
        <w:t>ffice to show proofs of the transfer of water pumps and power tillers to the farmers and the disposal of printer, otherwise he will be held responsible for the unaccounted pieces of property;</w:t>
      </w:r>
    </w:p>
    <w:p w:rsidR="00FC1516" w:rsidRPr="00FC1516" w:rsidRDefault="00FC1516" w:rsidP="00FC1516">
      <w:pPr>
        <w:tabs>
          <w:tab w:val="decimal" w:pos="90"/>
        </w:tabs>
        <w:jc w:val="both"/>
        <w:rPr>
          <w:rFonts w:ascii="Arial" w:hAnsi="Arial" w:cs="Arial"/>
          <w:sz w:val="22"/>
          <w:szCs w:val="22"/>
        </w:rPr>
      </w:pPr>
    </w:p>
    <w:p w:rsidR="00FC1516" w:rsidRPr="00FC1516" w:rsidRDefault="00FC1516" w:rsidP="00813CB0">
      <w:pPr>
        <w:tabs>
          <w:tab w:val="left" w:pos="540"/>
        </w:tabs>
        <w:jc w:val="both"/>
        <w:rPr>
          <w:rFonts w:ascii="Arial" w:hAnsi="Arial" w:cs="Arial"/>
          <w:sz w:val="22"/>
          <w:szCs w:val="22"/>
        </w:rPr>
      </w:pPr>
      <w:r>
        <w:rPr>
          <w:rFonts w:ascii="Arial" w:hAnsi="Arial" w:cs="Arial"/>
          <w:sz w:val="22"/>
          <w:szCs w:val="22"/>
        </w:rPr>
        <w:t>2.</w:t>
      </w:r>
      <w:r>
        <w:rPr>
          <w:rFonts w:ascii="Arial" w:hAnsi="Arial" w:cs="Arial"/>
          <w:sz w:val="22"/>
          <w:szCs w:val="22"/>
        </w:rPr>
        <w:tab/>
      </w:r>
      <w:r w:rsidRPr="00FC1516">
        <w:rPr>
          <w:rFonts w:ascii="Arial" w:hAnsi="Arial" w:cs="Arial"/>
          <w:sz w:val="22"/>
          <w:szCs w:val="22"/>
        </w:rPr>
        <w:t>Instruct the Central Office Accounting Division to regularly update the PPELCs and match their records with inventory reports;</w:t>
      </w:r>
    </w:p>
    <w:p w:rsidR="00FC1516" w:rsidRPr="00FC1516" w:rsidRDefault="00FC1516" w:rsidP="00FC1516">
      <w:pPr>
        <w:pStyle w:val="ListParagraph"/>
        <w:jc w:val="both"/>
        <w:rPr>
          <w:rFonts w:ascii="Arial" w:hAnsi="Arial" w:cs="Arial"/>
          <w:sz w:val="22"/>
          <w:szCs w:val="22"/>
        </w:rPr>
      </w:pPr>
    </w:p>
    <w:p w:rsidR="00FC1516" w:rsidRPr="00FC1516" w:rsidRDefault="00FC1516" w:rsidP="00813CB0">
      <w:pPr>
        <w:tabs>
          <w:tab w:val="left" w:pos="540"/>
          <w:tab w:val="left" w:pos="720"/>
        </w:tabs>
        <w:jc w:val="both"/>
        <w:rPr>
          <w:rFonts w:ascii="Arial" w:hAnsi="Arial" w:cs="Arial"/>
          <w:sz w:val="22"/>
          <w:szCs w:val="22"/>
        </w:rPr>
      </w:pPr>
      <w:r>
        <w:rPr>
          <w:rFonts w:ascii="Arial" w:hAnsi="Arial" w:cs="Arial"/>
          <w:sz w:val="22"/>
          <w:szCs w:val="22"/>
        </w:rPr>
        <w:t>3.</w:t>
      </w:r>
      <w:r>
        <w:rPr>
          <w:rFonts w:ascii="Arial" w:hAnsi="Arial" w:cs="Arial"/>
          <w:sz w:val="22"/>
          <w:szCs w:val="22"/>
        </w:rPr>
        <w:tab/>
      </w:r>
      <w:r w:rsidRPr="00FC1516">
        <w:rPr>
          <w:rFonts w:ascii="Arial" w:hAnsi="Arial" w:cs="Arial"/>
          <w:sz w:val="22"/>
          <w:szCs w:val="22"/>
        </w:rPr>
        <w:t>On the parcels of land claimed by the Corporation:</w:t>
      </w:r>
    </w:p>
    <w:p w:rsidR="00FC1516" w:rsidRPr="00FC1516" w:rsidRDefault="00FC1516" w:rsidP="00FC1516">
      <w:pPr>
        <w:pStyle w:val="ListParagraph"/>
        <w:tabs>
          <w:tab w:val="left" w:pos="1260"/>
        </w:tabs>
        <w:jc w:val="both"/>
        <w:rPr>
          <w:rFonts w:ascii="Arial" w:hAnsi="Arial" w:cs="Arial"/>
          <w:sz w:val="22"/>
          <w:szCs w:val="22"/>
        </w:rPr>
      </w:pPr>
    </w:p>
    <w:p w:rsidR="00FC1516" w:rsidRPr="00FC1516" w:rsidRDefault="00FC1516" w:rsidP="00813CB0">
      <w:pPr>
        <w:pStyle w:val="ListParagraph"/>
        <w:tabs>
          <w:tab w:val="left" w:pos="1080"/>
          <w:tab w:val="left" w:pos="1440"/>
        </w:tabs>
        <w:ind w:left="540"/>
        <w:jc w:val="both"/>
        <w:rPr>
          <w:rFonts w:ascii="Arial" w:hAnsi="Arial" w:cs="Arial"/>
          <w:sz w:val="22"/>
          <w:szCs w:val="22"/>
        </w:rPr>
      </w:pPr>
      <w:r>
        <w:rPr>
          <w:rFonts w:ascii="Arial" w:hAnsi="Arial" w:cs="Arial"/>
          <w:sz w:val="22"/>
          <w:szCs w:val="22"/>
        </w:rPr>
        <w:t>3</w:t>
      </w:r>
      <w:r w:rsidRPr="00FC1516">
        <w:rPr>
          <w:rFonts w:ascii="Arial" w:hAnsi="Arial" w:cs="Arial"/>
          <w:sz w:val="22"/>
          <w:szCs w:val="22"/>
        </w:rPr>
        <w:t>.1</w:t>
      </w:r>
      <w:r w:rsidRPr="00FC1516">
        <w:rPr>
          <w:rFonts w:ascii="Arial" w:hAnsi="Arial" w:cs="Arial"/>
          <w:sz w:val="22"/>
          <w:szCs w:val="22"/>
        </w:rPr>
        <w:tab/>
        <w:t>Create a committee to: (i) conduct physical inventory taking of all parcels of land</w:t>
      </w:r>
      <w:r>
        <w:rPr>
          <w:rFonts w:ascii="Arial" w:hAnsi="Arial" w:cs="Arial"/>
          <w:sz w:val="22"/>
          <w:szCs w:val="22"/>
        </w:rPr>
        <w:t xml:space="preserve"> </w:t>
      </w:r>
      <w:r w:rsidRPr="00FC1516">
        <w:rPr>
          <w:rFonts w:ascii="Arial" w:hAnsi="Arial" w:cs="Arial"/>
          <w:sz w:val="22"/>
          <w:szCs w:val="22"/>
        </w:rPr>
        <w:t xml:space="preserve">being claimed by NTA, (ii) validate status of ownership of the 135 parcels of land with the Registry of Deeds/concerned government agencies, (iii) work out for the consolidation of </w:t>
      </w:r>
      <w:r w:rsidR="004C4C62">
        <w:rPr>
          <w:rFonts w:ascii="Arial" w:hAnsi="Arial" w:cs="Arial"/>
          <w:sz w:val="22"/>
          <w:szCs w:val="22"/>
        </w:rPr>
        <w:t>the Transfer Certificates of Title (</w:t>
      </w:r>
      <w:r w:rsidRPr="00FC1516">
        <w:rPr>
          <w:rFonts w:ascii="Arial" w:hAnsi="Arial" w:cs="Arial"/>
          <w:sz w:val="22"/>
          <w:szCs w:val="22"/>
        </w:rPr>
        <w:t>TCTs</w:t>
      </w:r>
      <w:r w:rsidR="004C4C62">
        <w:rPr>
          <w:rFonts w:ascii="Arial" w:hAnsi="Arial" w:cs="Arial"/>
          <w:sz w:val="22"/>
          <w:szCs w:val="22"/>
        </w:rPr>
        <w:t>)</w:t>
      </w:r>
      <w:r w:rsidRPr="00FC1516">
        <w:rPr>
          <w:rFonts w:ascii="Arial" w:hAnsi="Arial" w:cs="Arial"/>
          <w:sz w:val="22"/>
          <w:szCs w:val="22"/>
        </w:rPr>
        <w:t xml:space="preserve"> under the name of NTA of the parcels of land still</w:t>
      </w:r>
      <w:r>
        <w:rPr>
          <w:rFonts w:ascii="Arial" w:hAnsi="Arial" w:cs="Arial"/>
          <w:sz w:val="22"/>
          <w:szCs w:val="22"/>
        </w:rPr>
        <w:t xml:space="preserve"> </w:t>
      </w:r>
      <w:r w:rsidRPr="00FC1516">
        <w:rPr>
          <w:rFonts w:ascii="Arial" w:hAnsi="Arial" w:cs="Arial"/>
          <w:sz w:val="22"/>
          <w:szCs w:val="22"/>
        </w:rPr>
        <w:t>registered under the names of</w:t>
      </w:r>
      <w:r w:rsidR="004C4C62">
        <w:rPr>
          <w:rFonts w:ascii="Arial" w:hAnsi="Arial" w:cs="Arial"/>
          <w:sz w:val="22"/>
          <w:szCs w:val="22"/>
        </w:rPr>
        <w:t xml:space="preserve"> the Philippine Tobacco Research and Training Center (</w:t>
      </w:r>
      <w:r w:rsidRPr="00FC1516">
        <w:rPr>
          <w:rFonts w:ascii="Arial" w:hAnsi="Arial" w:cs="Arial"/>
          <w:sz w:val="22"/>
          <w:szCs w:val="22"/>
        </w:rPr>
        <w:t>PTRTC</w:t>
      </w:r>
      <w:r w:rsidR="004C4C62">
        <w:rPr>
          <w:rFonts w:ascii="Arial" w:hAnsi="Arial" w:cs="Arial"/>
          <w:sz w:val="22"/>
          <w:szCs w:val="22"/>
        </w:rPr>
        <w:t>)</w:t>
      </w:r>
      <w:r w:rsidRPr="00FC1516">
        <w:rPr>
          <w:rFonts w:ascii="Arial" w:hAnsi="Arial" w:cs="Arial"/>
          <w:sz w:val="22"/>
          <w:szCs w:val="22"/>
        </w:rPr>
        <w:t xml:space="preserve">, </w:t>
      </w:r>
      <w:r w:rsidR="004C4C62">
        <w:rPr>
          <w:rFonts w:ascii="Arial" w:hAnsi="Arial" w:cs="Arial"/>
          <w:sz w:val="22"/>
          <w:szCs w:val="22"/>
        </w:rPr>
        <w:t>Philippine Tobacco Administration (</w:t>
      </w:r>
      <w:r w:rsidRPr="00FC1516">
        <w:rPr>
          <w:rFonts w:ascii="Arial" w:hAnsi="Arial" w:cs="Arial"/>
          <w:sz w:val="22"/>
          <w:szCs w:val="22"/>
        </w:rPr>
        <w:t>PTA</w:t>
      </w:r>
      <w:r w:rsidR="004C4C62">
        <w:rPr>
          <w:rFonts w:ascii="Arial" w:hAnsi="Arial" w:cs="Arial"/>
          <w:sz w:val="22"/>
          <w:szCs w:val="22"/>
        </w:rPr>
        <w:t>)</w:t>
      </w:r>
      <w:r w:rsidRPr="00FC1516">
        <w:rPr>
          <w:rFonts w:ascii="Arial" w:hAnsi="Arial" w:cs="Arial"/>
          <w:sz w:val="22"/>
          <w:szCs w:val="22"/>
        </w:rPr>
        <w:t xml:space="preserve">, and private companies/individuals, (iv) work out for the change of Tax Declarations of the parcels of land with the Assessor’s Office of local government units; and (v) appraise the land already under the name of NTA to facilitate recording in the books; </w:t>
      </w:r>
    </w:p>
    <w:p w:rsidR="00FC1516" w:rsidRPr="00FC1516" w:rsidRDefault="00FC1516" w:rsidP="00813CB0">
      <w:pPr>
        <w:pStyle w:val="ListParagraph"/>
        <w:ind w:left="540"/>
        <w:jc w:val="both"/>
        <w:rPr>
          <w:rFonts w:ascii="Arial" w:hAnsi="Arial" w:cs="Arial"/>
          <w:sz w:val="22"/>
          <w:szCs w:val="22"/>
        </w:rPr>
      </w:pPr>
    </w:p>
    <w:p w:rsidR="00FC1516" w:rsidRPr="00FC1516" w:rsidRDefault="00FC1516" w:rsidP="00813CB0">
      <w:pPr>
        <w:pStyle w:val="ListParagraph"/>
        <w:tabs>
          <w:tab w:val="left" w:pos="1080"/>
          <w:tab w:val="left" w:pos="1440"/>
        </w:tabs>
        <w:ind w:left="540"/>
        <w:jc w:val="both"/>
        <w:rPr>
          <w:rFonts w:ascii="Arial" w:hAnsi="Arial" w:cs="Arial"/>
          <w:sz w:val="22"/>
          <w:szCs w:val="22"/>
        </w:rPr>
      </w:pPr>
      <w:r>
        <w:rPr>
          <w:rFonts w:ascii="Arial" w:hAnsi="Arial" w:cs="Arial"/>
          <w:sz w:val="22"/>
          <w:szCs w:val="22"/>
        </w:rPr>
        <w:t>3</w:t>
      </w:r>
      <w:r w:rsidRPr="00FC1516">
        <w:rPr>
          <w:rFonts w:ascii="Arial" w:hAnsi="Arial" w:cs="Arial"/>
          <w:sz w:val="22"/>
          <w:szCs w:val="22"/>
        </w:rPr>
        <w:t>.2</w:t>
      </w:r>
      <w:r w:rsidRPr="00FC1516">
        <w:rPr>
          <w:rFonts w:ascii="Arial" w:hAnsi="Arial" w:cs="Arial"/>
          <w:sz w:val="22"/>
          <w:szCs w:val="22"/>
        </w:rPr>
        <w:tab/>
        <w:t>Allocate budget for the titling of the land in the name of NTA; and</w:t>
      </w:r>
    </w:p>
    <w:p w:rsidR="00FC1516" w:rsidRPr="00FC1516" w:rsidRDefault="00FC1516" w:rsidP="00813CB0">
      <w:pPr>
        <w:pStyle w:val="ListParagraph"/>
        <w:tabs>
          <w:tab w:val="left" w:pos="1800"/>
        </w:tabs>
        <w:ind w:left="540"/>
        <w:jc w:val="both"/>
        <w:rPr>
          <w:rFonts w:ascii="Arial" w:hAnsi="Arial" w:cs="Arial"/>
          <w:sz w:val="22"/>
          <w:szCs w:val="22"/>
        </w:rPr>
      </w:pPr>
    </w:p>
    <w:p w:rsidR="00FC1516" w:rsidRPr="00FC1516" w:rsidRDefault="00FC1516" w:rsidP="00813CB0">
      <w:pPr>
        <w:pStyle w:val="ListParagraph"/>
        <w:tabs>
          <w:tab w:val="left" w:pos="1080"/>
          <w:tab w:val="left" w:pos="1440"/>
        </w:tabs>
        <w:ind w:left="540"/>
        <w:jc w:val="both"/>
        <w:rPr>
          <w:rFonts w:ascii="Arial" w:hAnsi="Arial" w:cs="Arial"/>
          <w:sz w:val="22"/>
          <w:szCs w:val="22"/>
        </w:rPr>
      </w:pPr>
      <w:r>
        <w:rPr>
          <w:rFonts w:ascii="Arial" w:hAnsi="Arial" w:cs="Arial"/>
          <w:sz w:val="22"/>
          <w:szCs w:val="22"/>
        </w:rPr>
        <w:t>3</w:t>
      </w:r>
      <w:r w:rsidRPr="00FC1516">
        <w:rPr>
          <w:rFonts w:ascii="Arial" w:hAnsi="Arial" w:cs="Arial"/>
          <w:sz w:val="22"/>
          <w:szCs w:val="22"/>
        </w:rPr>
        <w:t>.3</w:t>
      </w:r>
      <w:r w:rsidRPr="00FC1516">
        <w:rPr>
          <w:rFonts w:ascii="Arial" w:hAnsi="Arial" w:cs="Arial"/>
          <w:sz w:val="22"/>
          <w:szCs w:val="22"/>
        </w:rPr>
        <w:tab/>
        <w:t>Verify the status of the land transferred to PhilRice considering that the same is sti</w:t>
      </w:r>
      <w:r w:rsidR="00B838F7">
        <w:rPr>
          <w:rFonts w:ascii="Arial" w:hAnsi="Arial" w:cs="Arial"/>
          <w:sz w:val="22"/>
          <w:szCs w:val="22"/>
        </w:rPr>
        <w:t>ll recorded in the books of NTA;</w:t>
      </w:r>
    </w:p>
    <w:p w:rsidR="00F61236" w:rsidRPr="00FC1516" w:rsidRDefault="00F61236" w:rsidP="007F5811">
      <w:pPr>
        <w:spacing w:line="276" w:lineRule="auto"/>
        <w:contextualSpacing/>
        <w:jc w:val="both"/>
        <w:rPr>
          <w:rFonts w:ascii="Arial" w:hAnsi="Arial" w:cs="Arial"/>
          <w:sz w:val="22"/>
          <w:szCs w:val="22"/>
        </w:rPr>
      </w:pPr>
    </w:p>
    <w:p w:rsidR="00FC1516" w:rsidRPr="00FC1516" w:rsidRDefault="00FC1516" w:rsidP="00813CB0">
      <w:pPr>
        <w:tabs>
          <w:tab w:val="left" w:pos="540"/>
          <w:tab w:val="left" w:pos="720"/>
        </w:tabs>
        <w:jc w:val="both"/>
        <w:rPr>
          <w:rFonts w:ascii="Arial" w:hAnsi="Arial" w:cs="Arial"/>
          <w:sz w:val="22"/>
          <w:szCs w:val="22"/>
        </w:rPr>
      </w:pPr>
      <w:r>
        <w:rPr>
          <w:rFonts w:ascii="Arial" w:hAnsi="Arial" w:cs="Arial"/>
          <w:sz w:val="22"/>
          <w:szCs w:val="22"/>
        </w:rPr>
        <w:t xml:space="preserve">4. </w:t>
      </w:r>
      <w:r w:rsidR="002179A4" w:rsidRPr="00FC1516">
        <w:rPr>
          <w:rFonts w:ascii="Arial" w:hAnsi="Arial" w:cs="Arial"/>
          <w:sz w:val="22"/>
          <w:szCs w:val="22"/>
        </w:rPr>
        <w:t xml:space="preserve"> </w:t>
      </w:r>
      <w:r>
        <w:rPr>
          <w:rFonts w:ascii="Arial" w:hAnsi="Arial" w:cs="Arial"/>
          <w:sz w:val="22"/>
          <w:szCs w:val="22"/>
        </w:rPr>
        <w:tab/>
      </w:r>
      <w:r w:rsidRPr="00FC1516">
        <w:rPr>
          <w:rFonts w:ascii="Arial" w:hAnsi="Arial" w:cs="Arial"/>
          <w:sz w:val="22"/>
          <w:szCs w:val="22"/>
        </w:rPr>
        <w:t>Formulate/devise workable strategies to address the problem of collection/reduction of overdue and delinquent accounts;</w:t>
      </w:r>
    </w:p>
    <w:p w:rsidR="00EC2DD9" w:rsidRPr="00FC1516" w:rsidRDefault="00EC2DD9" w:rsidP="00FC1516">
      <w:pPr>
        <w:pStyle w:val="ListParagraph"/>
        <w:tabs>
          <w:tab w:val="left" w:pos="1440"/>
        </w:tabs>
        <w:jc w:val="both"/>
        <w:rPr>
          <w:rFonts w:ascii="Arial" w:hAnsi="Arial" w:cs="Arial"/>
          <w:sz w:val="22"/>
          <w:szCs w:val="22"/>
        </w:rPr>
      </w:pPr>
    </w:p>
    <w:p w:rsidR="00FC1516" w:rsidRPr="00FC1516" w:rsidRDefault="00FC1516" w:rsidP="00813CB0">
      <w:pPr>
        <w:tabs>
          <w:tab w:val="left" w:pos="540"/>
          <w:tab w:val="left" w:pos="720"/>
          <w:tab w:val="left" w:pos="1440"/>
        </w:tabs>
        <w:jc w:val="both"/>
        <w:rPr>
          <w:rFonts w:ascii="Arial" w:hAnsi="Arial" w:cs="Arial"/>
          <w:sz w:val="22"/>
          <w:szCs w:val="22"/>
        </w:rPr>
      </w:pPr>
      <w:r w:rsidRPr="00FC1516">
        <w:rPr>
          <w:rFonts w:ascii="Arial" w:hAnsi="Arial" w:cs="Arial"/>
          <w:sz w:val="22"/>
          <w:szCs w:val="22"/>
        </w:rPr>
        <w:t>5.</w:t>
      </w:r>
      <w:r w:rsidRPr="00FC1516">
        <w:rPr>
          <w:rFonts w:ascii="Arial" w:hAnsi="Arial" w:cs="Arial"/>
          <w:sz w:val="22"/>
          <w:szCs w:val="22"/>
        </w:rPr>
        <w:tab/>
        <w:t>Direct the Extension Workers to intensify collection efforts;</w:t>
      </w:r>
    </w:p>
    <w:p w:rsidR="00FC1516" w:rsidRPr="00FC1516" w:rsidRDefault="00FC1516" w:rsidP="00FC1516">
      <w:pPr>
        <w:pStyle w:val="ListParagraph"/>
        <w:tabs>
          <w:tab w:val="left" w:pos="1260"/>
          <w:tab w:val="left" w:pos="1440"/>
        </w:tabs>
        <w:jc w:val="both"/>
        <w:rPr>
          <w:rFonts w:ascii="Arial" w:hAnsi="Arial" w:cs="Arial"/>
        </w:rPr>
      </w:pPr>
    </w:p>
    <w:p w:rsidR="00FC1516" w:rsidRPr="00FC1516" w:rsidRDefault="00EC2DD9" w:rsidP="00813CB0">
      <w:pPr>
        <w:tabs>
          <w:tab w:val="left" w:pos="540"/>
          <w:tab w:val="left" w:pos="720"/>
        </w:tabs>
        <w:jc w:val="both"/>
        <w:rPr>
          <w:rFonts w:ascii="Arial" w:hAnsi="Arial" w:cs="Arial"/>
          <w:sz w:val="22"/>
          <w:szCs w:val="22"/>
        </w:rPr>
      </w:pPr>
      <w:r>
        <w:rPr>
          <w:rFonts w:ascii="Arial" w:hAnsi="Arial" w:cs="Arial"/>
          <w:sz w:val="22"/>
          <w:szCs w:val="22"/>
        </w:rPr>
        <w:t>6.</w:t>
      </w:r>
      <w:r>
        <w:rPr>
          <w:rFonts w:ascii="Arial" w:hAnsi="Arial" w:cs="Arial"/>
          <w:sz w:val="22"/>
          <w:szCs w:val="22"/>
        </w:rPr>
        <w:tab/>
      </w:r>
      <w:r w:rsidR="00FC1516" w:rsidRPr="00FC1516">
        <w:rPr>
          <w:rFonts w:ascii="Arial" w:hAnsi="Arial" w:cs="Arial"/>
          <w:sz w:val="22"/>
          <w:szCs w:val="22"/>
        </w:rPr>
        <w:t xml:space="preserve">Consider filing appropriate legal cases against the tobacco farmers, cooperatives and tobacco trading centers through the assistance of the Office of the Government Corporate Counsel to enforce collections; </w:t>
      </w:r>
    </w:p>
    <w:p w:rsidR="00FC1516" w:rsidRPr="00FC1516" w:rsidRDefault="00FC1516" w:rsidP="00FC1516">
      <w:pPr>
        <w:pStyle w:val="ListParagraph"/>
        <w:jc w:val="both"/>
        <w:rPr>
          <w:rFonts w:ascii="Arial" w:hAnsi="Arial" w:cs="Arial"/>
          <w:sz w:val="22"/>
          <w:szCs w:val="22"/>
        </w:rPr>
      </w:pPr>
    </w:p>
    <w:p w:rsidR="00FC1516" w:rsidRPr="00FC1516" w:rsidRDefault="00EC2DD9" w:rsidP="00813CB0">
      <w:pPr>
        <w:tabs>
          <w:tab w:val="left" w:pos="540"/>
          <w:tab w:val="left" w:pos="720"/>
        </w:tabs>
        <w:jc w:val="both"/>
        <w:rPr>
          <w:rFonts w:ascii="Arial" w:hAnsi="Arial" w:cs="Arial"/>
          <w:sz w:val="22"/>
          <w:szCs w:val="22"/>
        </w:rPr>
      </w:pPr>
      <w:r>
        <w:rPr>
          <w:rFonts w:ascii="Arial" w:hAnsi="Arial" w:cs="Arial"/>
          <w:sz w:val="22"/>
          <w:szCs w:val="22"/>
        </w:rPr>
        <w:t>7.</w:t>
      </w:r>
      <w:r>
        <w:rPr>
          <w:rFonts w:ascii="Arial" w:hAnsi="Arial" w:cs="Arial"/>
          <w:sz w:val="22"/>
          <w:szCs w:val="22"/>
        </w:rPr>
        <w:tab/>
      </w:r>
      <w:r w:rsidR="00FC1516" w:rsidRPr="00FC1516">
        <w:rPr>
          <w:rFonts w:ascii="Arial" w:hAnsi="Arial" w:cs="Arial"/>
          <w:sz w:val="22"/>
          <w:szCs w:val="22"/>
        </w:rPr>
        <w:t xml:space="preserve">Instruct the Accountant in Candon Branch Office to prepare and maintain Subsidiary Ledgers in compliance with Appendix  7 of  the </w:t>
      </w:r>
      <w:r w:rsidR="004C4C62">
        <w:rPr>
          <w:rFonts w:ascii="Arial" w:hAnsi="Arial" w:cs="Arial"/>
          <w:sz w:val="22"/>
          <w:szCs w:val="22"/>
        </w:rPr>
        <w:t xml:space="preserve"> Manual on New Government Accounting System (</w:t>
      </w:r>
      <w:r w:rsidR="00FC1516" w:rsidRPr="00FC1516">
        <w:rPr>
          <w:rFonts w:ascii="Arial" w:hAnsi="Arial" w:cs="Arial"/>
          <w:sz w:val="22"/>
          <w:szCs w:val="22"/>
        </w:rPr>
        <w:t>MNGAS</w:t>
      </w:r>
      <w:r w:rsidR="004C4C62">
        <w:rPr>
          <w:rFonts w:ascii="Arial" w:hAnsi="Arial" w:cs="Arial"/>
          <w:sz w:val="22"/>
          <w:szCs w:val="22"/>
        </w:rPr>
        <w:t>)</w:t>
      </w:r>
      <w:r w:rsidR="00B23BB2">
        <w:rPr>
          <w:rFonts w:ascii="Arial" w:hAnsi="Arial" w:cs="Arial"/>
          <w:sz w:val="22"/>
          <w:szCs w:val="22"/>
        </w:rPr>
        <w:t>,</w:t>
      </w:r>
      <w:r w:rsidR="00FC1516" w:rsidRPr="00FC1516">
        <w:rPr>
          <w:rFonts w:ascii="Arial" w:hAnsi="Arial" w:cs="Arial"/>
          <w:sz w:val="22"/>
          <w:szCs w:val="22"/>
        </w:rPr>
        <w:t xml:space="preserve"> Volume II;</w:t>
      </w:r>
    </w:p>
    <w:p w:rsidR="00FC1516" w:rsidRPr="00FC1516" w:rsidRDefault="00FC1516" w:rsidP="00FC1516">
      <w:pPr>
        <w:pStyle w:val="ListParagraph"/>
        <w:jc w:val="both"/>
        <w:rPr>
          <w:rFonts w:ascii="Arial" w:hAnsi="Arial" w:cs="Arial"/>
          <w:sz w:val="22"/>
          <w:szCs w:val="22"/>
        </w:rPr>
      </w:pPr>
    </w:p>
    <w:p w:rsidR="00FC1516" w:rsidRPr="00FC1516" w:rsidRDefault="00EC2DD9" w:rsidP="00813CB0">
      <w:pPr>
        <w:tabs>
          <w:tab w:val="left" w:pos="540"/>
          <w:tab w:val="left" w:pos="720"/>
        </w:tabs>
        <w:jc w:val="both"/>
        <w:rPr>
          <w:rFonts w:ascii="Arial" w:hAnsi="Arial" w:cs="Arial"/>
          <w:sz w:val="22"/>
          <w:szCs w:val="22"/>
        </w:rPr>
      </w:pPr>
      <w:r>
        <w:rPr>
          <w:rFonts w:ascii="Arial" w:hAnsi="Arial" w:cs="Arial"/>
          <w:sz w:val="22"/>
          <w:szCs w:val="22"/>
        </w:rPr>
        <w:t>8.</w:t>
      </w:r>
      <w:r>
        <w:rPr>
          <w:rFonts w:ascii="Arial" w:hAnsi="Arial" w:cs="Arial"/>
          <w:sz w:val="22"/>
          <w:szCs w:val="22"/>
        </w:rPr>
        <w:tab/>
      </w:r>
      <w:r w:rsidR="00FC1516" w:rsidRPr="00FC1516">
        <w:rPr>
          <w:rFonts w:ascii="Arial" w:hAnsi="Arial" w:cs="Arial"/>
          <w:sz w:val="22"/>
          <w:szCs w:val="22"/>
        </w:rPr>
        <w:t xml:space="preserve">Direct the concerned Branch Office Managers of Vigan, Batac and Candon to make representation with the </w:t>
      </w:r>
      <w:r w:rsidR="004C4C62">
        <w:rPr>
          <w:rFonts w:ascii="Arial" w:hAnsi="Arial" w:cs="Arial"/>
          <w:sz w:val="22"/>
          <w:szCs w:val="22"/>
        </w:rPr>
        <w:t>Department of Environment and Natural Resources (</w:t>
      </w:r>
      <w:r w:rsidR="00FC1516" w:rsidRPr="00FC1516">
        <w:rPr>
          <w:rFonts w:ascii="Arial" w:hAnsi="Arial" w:cs="Arial"/>
          <w:sz w:val="22"/>
          <w:szCs w:val="22"/>
        </w:rPr>
        <w:t>DENR</w:t>
      </w:r>
      <w:r w:rsidR="004C4C62">
        <w:rPr>
          <w:rFonts w:ascii="Arial" w:hAnsi="Arial" w:cs="Arial"/>
          <w:sz w:val="22"/>
          <w:szCs w:val="22"/>
        </w:rPr>
        <w:t>)</w:t>
      </w:r>
      <w:r w:rsidR="00FC1516" w:rsidRPr="00FC1516">
        <w:rPr>
          <w:rFonts w:ascii="Arial" w:hAnsi="Arial" w:cs="Arial"/>
          <w:sz w:val="22"/>
          <w:szCs w:val="22"/>
        </w:rPr>
        <w:t xml:space="preserve"> to transfer the reforestation project sites to the local government units to preserve the area as basis for amending the </w:t>
      </w:r>
      <w:r w:rsidR="004C4C62">
        <w:rPr>
          <w:rFonts w:ascii="Arial" w:hAnsi="Arial" w:cs="Arial"/>
          <w:sz w:val="22"/>
          <w:szCs w:val="22"/>
        </w:rPr>
        <w:t>Memorandum of Agreement (</w:t>
      </w:r>
      <w:r w:rsidR="00FC1516" w:rsidRPr="00FC1516">
        <w:rPr>
          <w:rFonts w:ascii="Arial" w:hAnsi="Arial" w:cs="Arial"/>
          <w:sz w:val="22"/>
          <w:szCs w:val="22"/>
        </w:rPr>
        <w:t>MOA</w:t>
      </w:r>
      <w:r w:rsidR="004C4C62">
        <w:rPr>
          <w:rFonts w:ascii="Arial" w:hAnsi="Arial" w:cs="Arial"/>
          <w:sz w:val="22"/>
          <w:szCs w:val="22"/>
        </w:rPr>
        <w:t>)</w:t>
      </w:r>
      <w:r w:rsidR="00E37365">
        <w:rPr>
          <w:rFonts w:ascii="Arial" w:hAnsi="Arial" w:cs="Arial"/>
          <w:sz w:val="22"/>
          <w:szCs w:val="22"/>
        </w:rPr>
        <w:t xml:space="preserve"> </w:t>
      </w:r>
      <w:r w:rsidR="00FC1516" w:rsidRPr="00FC1516">
        <w:rPr>
          <w:rFonts w:ascii="Arial" w:hAnsi="Arial" w:cs="Arial"/>
          <w:sz w:val="22"/>
          <w:szCs w:val="22"/>
        </w:rPr>
        <w:t>and preparing adjusting entries in the books of accounts</w:t>
      </w:r>
      <w:r w:rsidR="00E37365">
        <w:rPr>
          <w:rFonts w:ascii="Arial" w:hAnsi="Arial" w:cs="Arial"/>
          <w:sz w:val="22"/>
          <w:szCs w:val="22"/>
        </w:rPr>
        <w:t xml:space="preserve">; </w:t>
      </w:r>
    </w:p>
    <w:p w:rsidR="00FC1516" w:rsidRPr="00FC1516" w:rsidRDefault="00FC1516" w:rsidP="00FC1516">
      <w:pPr>
        <w:pStyle w:val="ListParagraph"/>
        <w:jc w:val="both"/>
        <w:rPr>
          <w:rFonts w:ascii="Arial" w:hAnsi="Arial" w:cs="Arial"/>
          <w:sz w:val="22"/>
          <w:szCs w:val="22"/>
        </w:rPr>
      </w:pPr>
    </w:p>
    <w:p w:rsidR="00FC1516" w:rsidRDefault="00EC2DD9" w:rsidP="00813CB0">
      <w:pPr>
        <w:tabs>
          <w:tab w:val="left" w:pos="540"/>
          <w:tab w:val="left" w:pos="720"/>
        </w:tabs>
        <w:jc w:val="both"/>
        <w:rPr>
          <w:rFonts w:ascii="Arial" w:hAnsi="Arial" w:cs="Arial"/>
          <w:sz w:val="22"/>
          <w:szCs w:val="22"/>
        </w:rPr>
      </w:pPr>
      <w:r>
        <w:rPr>
          <w:rFonts w:ascii="Arial" w:hAnsi="Arial" w:cs="Arial"/>
          <w:sz w:val="22"/>
          <w:szCs w:val="22"/>
        </w:rPr>
        <w:lastRenderedPageBreak/>
        <w:t>9.</w:t>
      </w:r>
      <w:r>
        <w:rPr>
          <w:rFonts w:ascii="Arial" w:hAnsi="Arial" w:cs="Arial"/>
          <w:sz w:val="22"/>
          <w:szCs w:val="22"/>
        </w:rPr>
        <w:tab/>
      </w:r>
      <w:r w:rsidR="00FC1516" w:rsidRPr="00FC1516">
        <w:rPr>
          <w:rFonts w:ascii="Arial" w:hAnsi="Arial" w:cs="Arial"/>
          <w:sz w:val="22"/>
          <w:szCs w:val="22"/>
        </w:rPr>
        <w:t>Comply with the provisions of Item III.A.10 of COA Circular No. 97-001 for proper disposition of the dormant accounts and request for authority from COA to write-off these accounts</w:t>
      </w:r>
      <w:r w:rsidR="00B838F7">
        <w:rPr>
          <w:rFonts w:ascii="Arial" w:hAnsi="Arial" w:cs="Arial"/>
          <w:sz w:val="22"/>
          <w:szCs w:val="22"/>
        </w:rPr>
        <w:t xml:space="preserve">; </w:t>
      </w:r>
      <w:r w:rsidR="00E37365">
        <w:rPr>
          <w:rFonts w:ascii="Arial" w:hAnsi="Arial" w:cs="Arial"/>
          <w:sz w:val="22"/>
          <w:szCs w:val="22"/>
        </w:rPr>
        <w:t xml:space="preserve"> </w:t>
      </w:r>
      <w:r w:rsidR="004C4C62">
        <w:rPr>
          <w:rFonts w:ascii="Arial" w:hAnsi="Arial" w:cs="Arial"/>
          <w:sz w:val="22"/>
          <w:szCs w:val="22"/>
        </w:rPr>
        <w:t xml:space="preserve">and </w:t>
      </w:r>
    </w:p>
    <w:p w:rsidR="004C4C62" w:rsidRPr="00FC1516" w:rsidRDefault="004C4C62" w:rsidP="00813CB0">
      <w:pPr>
        <w:tabs>
          <w:tab w:val="left" w:pos="540"/>
          <w:tab w:val="left" w:pos="720"/>
        </w:tabs>
        <w:jc w:val="both"/>
        <w:rPr>
          <w:rFonts w:ascii="Arial" w:hAnsi="Arial" w:cs="Arial"/>
          <w:sz w:val="22"/>
          <w:szCs w:val="22"/>
        </w:rPr>
      </w:pPr>
    </w:p>
    <w:p w:rsidR="00E37365" w:rsidRPr="00E37365" w:rsidRDefault="00EC2DD9" w:rsidP="00813CB0">
      <w:pPr>
        <w:pStyle w:val="ListParagraph"/>
        <w:tabs>
          <w:tab w:val="left" w:pos="540"/>
        </w:tabs>
        <w:spacing w:line="276" w:lineRule="auto"/>
        <w:ind w:left="0"/>
        <w:contextualSpacing/>
        <w:jc w:val="both"/>
        <w:rPr>
          <w:rFonts w:ascii="Arial" w:hAnsi="Arial" w:cs="Arial"/>
          <w:sz w:val="22"/>
          <w:szCs w:val="22"/>
        </w:rPr>
      </w:pPr>
      <w:r>
        <w:rPr>
          <w:rFonts w:ascii="Arial" w:hAnsi="Arial" w:cs="Arial"/>
          <w:color w:val="000000"/>
          <w:sz w:val="22"/>
          <w:szCs w:val="22"/>
        </w:rPr>
        <w:t>10.</w:t>
      </w:r>
      <w:r>
        <w:rPr>
          <w:rFonts w:ascii="Arial" w:hAnsi="Arial" w:cs="Arial"/>
          <w:color w:val="000000"/>
          <w:sz w:val="22"/>
          <w:szCs w:val="22"/>
        </w:rPr>
        <w:tab/>
      </w:r>
      <w:r w:rsidR="00E37365" w:rsidRPr="00E37365">
        <w:rPr>
          <w:rFonts w:ascii="Arial" w:hAnsi="Arial" w:cs="Arial"/>
          <w:color w:val="000000"/>
          <w:sz w:val="22"/>
          <w:szCs w:val="22"/>
        </w:rPr>
        <w:t xml:space="preserve">Negotiate with </w:t>
      </w:r>
      <w:r w:rsidR="004C4C62">
        <w:rPr>
          <w:rFonts w:ascii="Arial" w:hAnsi="Arial" w:cs="Arial"/>
          <w:color w:val="000000"/>
          <w:sz w:val="22"/>
          <w:szCs w:val="22"/>
        </w:rPr>
        <w:t xml:space="preserve">PDIC </w:t>
      </w:r>
      <w:r w:rsidR="00E37365" w:rsidRPr="00E37365">
        <w:rPr>
          <w:rFonts w:ascii="Arial" w:hAnsi="Arial" w:cs="Arial"/>
          <w:color w:val="000000"/>
          <w:sz w:val="22"/>
          <w:szCs w:val="22"/>
        </w:rPr>
        <w:t>to expedite the execution of the Loan Restructuring Agreement as basis for recording the amount of loan and capitalized interest in the books.</w:t>
      </w:r>
    </w:p>
    <w:p w:rsidR="002179A4" w:rsidRPr="007F5811" w:rsidRDefault="002179A4" w:rsidP="007123F3">
      <w:pPr>
        <w:pStyle w:val="ListParagraph"/>
        <w:spacing w:line="276" w:lineRule="auto"/>
        <w:ind w:left="90"/>
        <w:contextualSpacing/>
        <w:jc w:val="both"/>
        <w:rPr>
          <w:rFonts w:ascii="Arial" w:hAnsi="Arial" w:cs="Arial"/>
          <w:sz w:val="22"/>
          <w:szCs w:val="22"/>
        </w:rPr>
      </w:pPr>
    </w:p>
    <w:p w:rsidR="007F5811" w:rsidRPr="002179A4" w:rsidRDefault="002179A4" w:rsidP="007123F3">
      <w:pPr>
        <w:pStyle w:val="ListParagraph"/>
        <w:tabs>
          <w:tab w:val="left" w:pos="720"/>
        </w:tabs>
        <w:spacing w:line="276" w:lineRule="auto"/>
        <w:ind w:left="0"/>
        <w:contextualSpacing/>
        <w:jc w:val="both"/>
        <w:rPr>
          <w:rFonts w:ascii="Arial" w:hAnsi="Arial" w:cs="Arial"/>
          <w:b/>
          <w:sz w:val="22"/>
          <w:szCs w:val="22"/>
        </w:rPr>
      </w:pPr>
      <w:r>
        <w:rPr>
          <w:rFonts w:ascii="Arial" w:hAnsi="Arial" w:cs="Arial"/>
          <w:b/>
          <w:sz w:val="22"/>
          <w:szCs w:val="22"/>
        </w:rPr>
        <w:t>The other significant observations and recommendations are as follows:</w:t>
      </w:r>
    </w:p>
    <w:p w:rsidR="007F5811" w:rsidRPr="007F5811" w:rsidRDefault="007F5811" w:rsidP="007123F3">
      <w:pPr>
        <w:pStyle w:val="ListParagraph"/>
        <w:spacing w:line="276" w:lineRule="auto"/>
        <w:contextualSpacing/>
        <w:jc w:val="both"/>
        <w:rPr>
          <w:rFonts w:ascii="Arial" w:hAnsi="Arial" w:cs="Arial"/>
        </w:rPr>
      </w:pPr>
    </w:p>
    <w:p w:rsidR="00310EDF" w:rsidRPr="00B838F7" w:rsidRDefault="00EC2DD9" w:rsidP="00813CB0">
      <w:pPr>
        <w:tabs>
          <w:tab w:val="left" w:pos="540"/>
          <w:tab w:val="left" w:pos="1080"/>
        </w:tabs>
        <w:jc w:val="both"/>
        <w:rPr>
          <w:rFonts w:ascii="Arial" w:hAnsi="Arial" w:cs="Arial"/>
          <w:sz w:val="22"/>
          <w:szCs w:val="22"/>
        </w:rPr>
      </w:pPr>
      <w:r>
        <w:rPr>
          <w:rFonts w:ascii="Arial" w:hAnsi="Arial" w:cs="Arial"/>
          <w:color w:val="000000"/>
          <w:sz w:val="22"/>
          <w:szCs w:val="22"/>
        </w:rPr>
        <w:t>11</w:t>
      </w:r>
      <w:r w:rsidR="00310EDF">
        <w:rPr>
          <w:rFonts w:ascii="Arial" w:hAnsi="Arial" w:cs="Arial"/>
          <w:color w:val="000000"/>
          <w:sz w:val="22"/>
          <w:szCs w:val="22"/>
        </w:rPr>
        <w:t>.</w:t>
      </w:r>
      <w:r w:rsidR="00310EDF">
        <w:rPr>
          <w:rFonts w:ascii="Arial" w:hAnsi="Arial" w:cs="Arial"/>
          <w:color w:val="000000"/>
          <w:sz w:val="22"/>
          <w:szCs w:val="22"/>
        </w:rPr>
        <w:tab/>
      </w:r>
      <w:r w:rsidR="00310EDF" w:rsidRPr="00B838F7">
        <w:rPr>
          <w:rFonts w:ascii="Arial" w:hAnsi="Arial" w:cs="Arial"/>
          <w:sz w:val="22"/>
          <w:szCs w:val="22"/>
        </w:rPr>
        <w:t xml:space="preserve">The amount expended for Personal Services (PS) exceeded the approved budget by P4.646 million due to payment of Educational Assistance Incentive Benefit (EAIB) </w:t>
      </w:r>
      <w:r w:rsidR="00B838F7" w:rsidRPr="00B838F7">
        <w:rPr>
          <w:rFonts w:ascii="Arial" w:hAnsi="Arial" w:cs="Arial"/>
          <w:sz w:val="22"/>
          <w:szCs w:val="22"/>
        </w:rPr>
        <w:t>which is not among the expenditures in the NTA’s Corporate Operating Budget (COB) for CY 2013 that was approved by the Department of Budget and Management (DBM)</w:t>
      </w:r>
      <w:r w:rsidR="00310EDF" w:rsidRPr="00B838F7">
        <w:rPr>
          <w:rFonts w:ascii="Arial" w:hAnsi="Arial" w:cs="Arial"/>
          <w:sz w:val="22"/>
          <w:szCs w:val="22"/>
        </w:rPr>
        <w:t xml:space="preserve">.  </w:t>
      </w:r>
    </w:p>
    <w:p w:rsidR="005C72E7" w:rsidRDefault="005C72E7" w:rsidP="005C72E7">
      <w:pPr>
        <w:pStyle w:val="ListParagraph"/>
        <w:spacing w:line="276" w:lineRule="auto"/>
        <w:ind w:left="0"/>
        <w:contextualSpacing/>
        <w:jc w:val="both"/>
        <w:rPr>
          <w:rFonts w:ascii="Arial" w:hAnsi="Arial" w:cs="Arial"/>
          <w:color w:val="000000" w:themeColor="text1"/>
          <w:sz w:val="22"/>
          <w:szCs w:val="22"/>
        </w:rPr>
      </w:pPr>
    </w:p>
    <w:p w:rsidR="00310EDF" w:rsidRDefault="005C72E7" w:rsidP="00813CB0">
      <w:pPr>
        <w:pStyle w:val="ListParagraph"/>
        <w:tabs>
          <w:tab w:val="left" w:pos="540"/>
          <w:tab w:val="left" w:pos="720"/>
        </w:tabs>
        <w:ind w:left="0"/>
        <w:jc w:val="both"/>
        <w:rPr>
          <w:rFonts w:ascii="Arial" w:hAnsi="Arial" w:cs="Arial"/>
          <w:color w:val="000000"/>
          <w:sz w:val="22"/>
          <w:szCs w:val="22"/>
        </w:rPr>
      </w:pPr>
      <w:r>
        <w:rPr>
          <w:rFonts w:ascii="Arial" w:hAnsi="Arial" w:cs="Arial"/>
          <w:color w:val="000000" w:themeColor="text1"/>
          <w:sz w:val="22"/>
          <w:szCs w:val="22"/>
        </w:rPr>
        <w:t>1</w:t>
      </w:r>
      <w:r w:rsidR="00EC2DD9">
        <w:rPr>
          <w:rFonts w:ascii="Arial" w:hAnsi="Arial" w:cs="Arial"/>
          <w:color w:val="000000" w:themeColor="text1"/>
          <w:sz w:val="22"/>
          <w:szCs w:val="22"/>
        </w:rPr>
        <w:t>1.1</w:t>
      </w:r>
      <w:r w:rsidR="00310EDF">
        <w:rPr>
          <w:rFonts w:ascii="Arial" w:hAnsi="Arial" w:cs="Arial"/>
          <w:color w:val="000000" w:themeColor="text1"/>
          <w:sz w:val="22"/>
          <w:szCs w:val="22"/>
        </w:rPr>
        <w:tab/>
      </w:r>
      <w:r w:rsidR="00310EDF" w:rsidRPr="00310EDF">
        <w:rPr>
          <w:rFonts w:ascii="Arial" w:hAnsi="Arial" w:cs="Arial"/>
          <w:color w:val="000000"/>
          <w:sz w:val="22"/>
          <w:szCs w:val="22"/>
        </w:rPr>
        <w:t>We recommended that Management:</w:t>
      </w:r>
    </w:p>
    <w:p w:rsidR="00310EDF" w:rsidRPr="00310EDF" w:rsidRDefault="00310EDF" w:rsidP="00310EDF">
      <w:pPr>
        <w:pStyle w:val="ListParagraph"/>
        <w:tabs>
          <w:tab w:val="left" w:pos="720"/>
        </w:tabs>
        <w:ind w:left="0"/>
        <w:jc w:val="both"/>
        <w:rPr>
          <w:rFonts w:ascii="Arial" w:hAnsi="Arial" w:cs="Arial"/>
          <w:color w:val="000000"/>
          <w:sz w:val="22"/>
          <w:szCs w:val="22"/>
        </w:rPr>
      </w:pPr>
    </w:p>
    <w:p w:rsidR="00310EDF" w:rsidRPr="00310EDF" w:rsidRDefault="00310EDF" w:rsidP="00813CB0">
      <w:pPr>
        <w:pStyle w:val="ListParagraph"/>
        <w:numPr>
          <w:ilvl w:val="1"/>
          <w:numId w:val="24"/>
        </w:numPr>
        <w:tabs>
          <w:tab w:val="left" w:pos="1080"/>
          <w:tab w:val="left" w:pos="1440"/>
        </w:tabs>
        <w:ind w:left="540" w:firstLine="0"/>
        <w:jc w:val="both"/>
        <w:rPr>
          <w:rFonts w:ascii="Arial" w:hAnsi="Arial" w:cs="Arial"/>
          <w:color w:val="000000"/>
          <w:sz w:val="22"/>
          <w:szCs w:val="22"/>
        </w:rPr>
      </w:pPr>
      <w:r w:rsidRPr="00310EDF">
        <w:rPr>
          <w:rFonts w:ascii="Arial" w:hAnsi="Arial" w:cs="Arial"/>
          <w:color w:val="000000"/>
          <w:sz w:val="22"/>
          <w:szCs w:val="22"/>
        </w:rPr>
        <w:t xml:space="preserve">Stop granting of  EAIB to concerned officials and employees without approved funding to avoid disallowance in audit; </w:t>
      </w:r>
    </w:p>
    <w:p w:rsidR="00310EDF" w:rsidRPr="00310EDF" w:rsidRDefault="00310EDF" w:rsidP="00813CB0">
      <w:pPr>
        <w:pStyle w:val="ListParagraph"/>
        <w:tabs>
          <w:tab w:val="left" w:pos="1080"/>
          <w:tab w:val="left" w:pos="1260"/>
        </w:tabs>
        <w:ind w:left="540"/>
        <w:rPr>
          <w:rFonts w:ascii="Arial" w:hAnsi="Arial" w:cs="Arial"/>
          <w:color w:val="000000"/>
          <w:sz w:val="22"/>
          <w:szCs w:val="22"/>
        </w:rPr>
      </w:pPr>
    </w:p>
    <w:p w:rsidR="00310EDF" w:rsidRPr="00310EDF" w:rsidRDefault="00310EDF" w:rsidP="00813CB0">
      <w:pPr>
        <w:pStyle w:val="ListParagraph"/>
        <w:numPr>
          <w:ilvl w:val="1"/>
          <w:numId w:val="24"/>
        </w:numPr>
        <w:tabs>
          <w:tab w:val="left" w:pos="1080"/>
          <w:tab w:val="left" w:pos="1440"/>
        </w:tabs>
        <w:ind w:left="540" w:firstLine="0"/>
        <w:jc w:val="both"/>
        <w:rPr>
          <w:rFonts w:ascii="Arial" w:hAnsi="Arial" w:cs="Arial"/>
          <w:color w:val="000000"/>
          <w:sz w:val="22"/>
          <w:szCs w:val="22"/>
        </w:rPr>
      </w:pPr>
      <w:r w:rsidRPr="00310EDF">
        <w:rPr>
          <w:rFonts w:ascii="Arial" w:hAnsi="Arial" w:cs="Arial"/>
          <w:color w:val="000000"/>
          <w:sz w:val="22"/>
          <w:szCs w:val="22"/>
        </w:rPr>
        <w:t xml:space="preserve">Secure prior authority from DBM to use savings from </w:t>
      </w:r>
      <w:r w:rsidR="004C4C62">
        <w:rPr>
          <w:rFonts w:ascii="Arial" w:hAnsi="Arial" w:cs="Arial"/>
          <w:color w:val="000000"/>
          <w:sz w:val="22"/>
          <w:szCs w:val="22"/>
        </w:rPr>
        <w:t xml:space="preserve"> Maintenance and Other Operating Expenses (</w:t>
      </w:r>
      <w:r w:rsidRPr="00310EDF">
        <w:rPr>
          <w:rFonts w:ascii="Arial" w:hAnsi="Arial" w:cs="Arial"/>
          <w:color w:val="000000"/>
          <w:sz w:val="22"/>
          <w:szCs w:val="22"/>
        </w:rPr>
        <w:t>MOOE</w:t>
      </w:r>
      <w:r w:rsidR="004C4C62">
        <w:rPr>
          <w:rFonts w:ascii="Arial" w:hAnsi="Arial" w:cs="Arial"/>
          <w:color w:val="000000"/>
          <w:sz w:val="22"/>
          <w:szCs w:val="22"/>
        </w:rPr>
        <w:t>)</w:t>
      </w:r>
      <w:r w:rsidRPr="00310EDF">
        <w:rPr>
          <w:rFonts w:ascii="Arial" w:hAnsi="Arial" w:cs="Arial"/>
          <w:color w:val="000000"/>
          <w:sz w:val="22"/>
          <w:szCs w:val="22"/>
        </w:rPr>
        <w:t xml:space="preserve"> to pay obligations for PS or vice versa; and </w:t>
      </w:r>
    </w:p>
    <w:p w:rsidR="00310EDF" w:rsidRPr="00310EDF" w:rsidRDefault="00310EDF" w:rsidP="00813CB0">
      <w:pPr>
        <w:pStyle w:val="ListParagraph"/>
        <w:tabs>
          <w:tab w:val="left" w:pos="1260"/>
        </w:tabs>
        <w:ind w:left="540"/>
        <w:jc w:val="both"/>
        <w:rPr>
          <w:rFonts w:ascii="Arial" w:hAnsi="Arial" w:cs="Arial"/>
          <w:color w:val="000000"/>
          <w:sz w:val="22"/>
          <w:szCs w:val="22"/>
        </w:rPr>
      </w:pPr>
    </w:p>
    <w:p w:rsidR="00310EDF" w:rsidRPr="00310EDF" w:rsidRDefault="00310EDF" w:rsidP="00813CB0">
      <w:pPr>
        <w:pStyle w:val="ListParagraph"/>
        <w:numPr>
          <w:ilvl w:val="1"/>
          <w:numId w:val="24"/>
        </w:numPr>
        <w:tabs>
          <w:tab w:val="left" w:pos="1080"/>
          <w:tab w:val="left" w:pos="1440"/>
        </w:tabs>
        <w:ind w:left="540" w:firstLine="0"/>
        <w:jc w:val="both"/>
        <w:rPr>
          <w:rFonts w:ascii="Arial" w:hAnsi="Arial" w:cs="Arial"/>
          <w:color w:val="000000"/>
          <w:sz w:val="22"/>
          <w:szCs w:val="22"/>
        </w:rPr>
      </w:pPr>
      <w:r w:rsidRPr="00310EDF">
        <w:rPr>
          <w:rFonts w:ascii="Arial" w:hAnsi="Arial" w:cs="Arial"/>
          <w:color w:val="000000"/>
          <w:sz w:val="22"/>
          <w:szCs w:val="22"/>
        </w:rPr>
        <w:t>Instruct the Finance Manager to, henceforth, disburse funds within the approved budget in compliance with the conditions set forth by the DBM in the COB.</w:t>
      </w:r>
    </w:p>
    <w:p w:rsidR="005C72E7" w:rsidRDefault="005C72E7" w:rsidP="005C72E7">
      <w:pPr>
        <w:pStyle w:val="ListParagraph"/>
        <w:spacing w:line="276" w:lineRule="auto"/>
        <w:ind w:left="0"/>
        <w:contextualSpacing/>
        <w:jc w:val="both"/>
        <w:rPr>
          <w:rFonts w:ascii="Arial" w:hAnsi="Arial" w:cs="Arial"/>
          <w:color w:val="000000" w:themeColor="text1"/>
          <w:sz w:val="22"/>
          <w:szCs w:val="22"/>
        </w:rPr>
      </w:pPr>
    </w:p>
    <w:p w:rsidR="00310EDF" w:rsidRPr="00310EDF" w:rsidRDefault="00EC2DD9" w:rsidP="00813CB0">
      <w:pPr>
        <w:pStyle w:val="ListParagraph"/>
        <w:tabs>
          <w:tab w:val="left" w:pos="540"/>
          <w:tab w:val="left" w:pos="720"/>
        </w:tabs>
        <w:ind w:left="0"/>
        <w:jc w:val="both"/>
        <w:rPr>
          <w:rFonts w:ascii="Arial" w:hAnsi="Arial" w:cs="Arial"/>
          <w:sz w:val="22"/>
          <w:szCs w:val="22"/>
        </w:rPr>
      </w:pPr>
      <w:r>
        <w:rPr>
          <w:rFonts w:ascii="Arial" w:hAnsi="Arial" w:cs="Arial"/>
          <w:sz w:val="22"/>
          <w:szCs w:val="22"/>
        </w:rPr>
        <w:t>12</w:t>
      </w:r>
      <w:r w:rsidR="00310EDF">
        <w:rPr>
          <w:rFonts w:ascii="Arial" w:hAnsi="Arial" w:cs="Arial"/>
          <w:sz w:val="22"/>
          <w:szCs w:val="22"/>
        </w:rPr>
        <w:t>.</w:t>
      </w:r>
      <w:r w:rsidR="00310EDF">
        <w:rPr>
          <w:rFonts w:ascii="Arial" w:hAnsi="Arial" w:cs="Arial"/>
          <w:sz w:val="22"/>
          <w:szCs w:val="22"/>
        </w:rPr>
        <w:tab/>
      </w:r>
      <w:r w:rsidR="00310EDF" w:rsidRPr="00310EDF">
        <w:rPr>
          <w:rFonts w:ascii="Arial" w:hAnsi="Arial" w:cs="Arial"/>
          <w:sz w:val="22"/>
          <w:szCs w:val="22"/>
        </w:rPr>
        <w:t>Procurement of consultancy services for the Agripinoy Infrastructure Project, through small value mode of procurement in the total amount of P1.741 million, was contrary to Sections 10 and 53.9 of the Revised Implementing Rules and Regulations (IRR</w:t>
      </w:r>
      <w:r w:rsidR="00B838F7">
        <w:rPr>
          <w:rFonts w:ascii="Arial" w:hAnsi="Arial" w:cs="Arial"/>
          <w:sz w:val="22"/>
          <w:szCs w:val="22"/>
        </w:rPr>
        <w:t>) of Republic Act (RA) No. 9184;</w:t>
      </w:r>
      <w:r w:rsidR="00310EDF" w:rsidRPr="00310EDF">
        <w:rPr>
          <w:rFonts w:ascii="Arial" w:hAnsi="Arial" w:cs="Arial"/>
          <w:sz w:val="22"/>
          <w:szCs w:val="22"/>
        </w:rPr>
        <w:t xml:space="preserve"> hence</w:t>
      </w:r>
      <w:r w:rsidR="00B838F7">
        <w:rPr>
          <w:rFonts w:ascii="Arial" w:hAnsi="Arial" w:cs="Arial"/>
          <w:sz w:val="22"/>
          <w:szCs w:val="22"/>
        </w:rPr>
        <w:t>,</w:t>
      </w:r>
      <w:r w:rsidR="00310EDF" w:rsidRPr="00310EDF">
        <w:rPr>
          <w:rFonts w:ascii="Arial" w:hAnsi="Arial" w:cs="Arial"/>
          <w:sz w:val="22"/>
          <w:szCs w:val="22"/>
        </w:rPr>
        <w:t xml:space="preserve"> NTA might not have obtained the most advantageous price for this procurement.</w:t>
      </w:r>
    </w:p>
    <w:p w:rsidR="00310EDF" w:rsidRDefault="00310EDF" w:rsidP="005C72E7">
      <w:pPr>
        <w:pStyle w:val="ListParagraph"/>
        <w:spacing w:line="276" w:lineRule="auto"/>
        <w:ind w:left="0"/>
        <w:contextualSpacing/>
        <w:jc w:val="both"/>
        <w:rPr>
          <w:rFonts w:ascii="Arial" w:hAnsi="Arial" w:cs="Arial"/>
          <w:color w:val="000000" w:themeColor="text1"/>
          <w:sz w:val="22"/>
          <w:szCs w:val="22"/>
        </w:rPr>
      </w:pPr>
    </w:p>
    <w:p w:rsidR="00310EDF" w:rsidRPr="00310EDF" w:rsidRDefault="00EC2DD9" w:rsidP="00813CB0">
      <w:pPr>
        <w:pStyle w:val="ListParagraph"/>
        <w:tabs>
          <w:tab w:val="left" w:pos="540"/>
        </w:tabs>
        <w:ind w:left="0"/>
        <w:jc w:val="both"/>
        <w:rPr>
          <w:rFonts w:ascii="Arial" w:hAnsi="Arial" w:cs="Arial"/>
          <w:sz w:val="22"/>
          <w:szCs w:val="22"/>
        </w:rPr>
      </w:pPr>
      <w:r>
        <w:rPr>
          <w:rFonts w:ascii="Arial" w:hAnsi="Arial" w:cs="Arial"/>
          <w:sz w:val="22"/>
          <w:szCs w:val="22"/>
        </w:rPr>
        <w:t>12</w:t>
      </w:r>
      <w:r w:rsidR="00310EDF">
        <w:rPr>
          <w:rFonts w:ascii="Arial" w:hAnsi="Arial" w:cs="Arial"/>
          <w:sz w:val="22"/>
          <w:szCs w:val="22"/>
        </w:rPr>
        <w:t>.1</w:t>
      </w:r>
      <w:r w:rsidR="00310EDF">
        <w:rPr>
          <w:rFonts w:ascii="Arial" w:hAnsi="Arial" w:cs="Arial"/>
          <w:sz w:val="22"/>
          <w:szCs w:val="22"/>
        </w:rPr>
        <w:tab/>
      </w:r>
      <w:r w:rsidR="00310EDF" w:rsidRPr="00310EDF">
        <w:rPr>
          <w:rFonts w:ascii="Arial" w:hAnsi="Arial" w:cs="Arial"/>
          <w:sz w:val="22"/>
          <w:szCs w:val="22"/>
        </w:rPr>
        <w:t>We recommended that Management strictly comply with all the provisions of the Revised IRR of RA No. 9184 in all its procurement activities to protect its interest and avoid suspension or disallowance in audit.</w:t>
      </w:r>
    </w:p>
    <w:p w:rsidR="00310EDF" w:rsidRDefault="00310EDF" w:rsidP="005C72E7">
      <w:pPr>
        <w:pStyle w:val="ListParagraph"/>
        <w:spacing w:line="276" w:lineRule="auto"/>
        <w:ind w:left="0"/>
        <w:contextualSpacing/>
        <w:jc w:val="both"/>
        <w:rPr>
          <w:rFonts w:ascii="Arial" w:hAnsi="Arial" w:cs="Arial"/>
          <w:color w:val="000000" w:themeColor="text1"/>
          <w:sz w:val="22"/>
          <w:szCs w:val="22"/>
        </w:rPr>
      </w:pPr>
    </w:p>
    <w:p w:rsidR="00310EDF" w:rsidRPr="00310EDF" w:rsidRDefault="00EC2DD9" w:rsidP="00813CB0">
      <w:pPr>
        <w:pStyle w:val="ListParagraph"/>
        <w:tabs>
          <w:tab w:val="left" w:pos="540"/>
          <w:tab w:val="left" w:pos="720"/>
        </w:tabs>
        <w:ind w:left="0"/>
        <w:jc w:val="both"/>
        <w:rPr>
          <w:rFonts w:ascii="Arial" w:hAnsi="Arial" w:cs="Arial"/>
          <w:sz w:val="22"/>
          <w:szCs w:val="22"/>
        </w:rPr>
      </w:pPr>
      <w:r>
        <w:rPr>
          <w:rFonts w:ascii="Arial" w:hAnsi="Arial" w:cs="Arial"/>
          <w:sz w:val="22"/>
          <w:szCs w:val="22"/>
        </w:rPr>
        <w:t>13</w:t>
      </w:r>
      <w:r w:rsidR="00310EDF">
        <w:rPr>
          <w:rFonts w:ascii="Arial" w:hAnsi="Arial" w:cs="Arial"/>
          <w:sz w:val="22"/>
          <w:szCs w:val="22"/>
        </w:rPr>
        <w:t>.</w:t>
      </w:r>
      <w:r w:rsidR="00310EDF">
        <w:rPr>
          <w:rFonts w:ascii="Arial" w:hAnsi="Arial" w:cs="Arial"/>
          <w:sz w:val="22"/>
          <w:szCs w:val="22"/>
        </w:rPr>
        <w:tab/>
      </w:r>
      <w:r w:rsidR="00310EDF" w:rsidRPr="00310EDF">
        <w:rPr>
          <w:rFonts w:ascii="Arial" w:hAnsi="Arial" w:cs="Arial"/>
          <w:sz w:val="22"/>
          <w:szCs w:val="22"/>
        </w:rPr>
        <w:t>Accumulated cash shortage in the total amount of P322,049 was established on the cash and accounts of the Collecting Officer</w:t>
      </w:r>
      <w:r w:rsidR="00310EDF">
        <w:rPr>
          <w:rFonts w:ascii="Arial" w:hAnsi="Arial" w:cs="Arial"/>
          <w:sz w:val="22"/>
          <w:szCs w:val="22"/>
        </w:rPr>
        <w:t xml:space="preserve"> </w:t>
      </w:r>
      <w:r w:rsidR="00310EDF" w:rsidRPr="00310EDF">
        <w:rPr>
          <w:rFonts w:ascii="Arial" w:hAnsi="Arial" w:cs="Arial"/>
          <w:sz w:val="22"/>
          <w:szCs w:val="22"/>
        </w:rPr>
        <w:t>covering the period from May 28, 2013 to January 13, 2014, for failure to deposit collections intact to  authorized government depository bank as required by regulations.</w:t>
      </w:r>
    </w:p>
    <w:p w:rsidR="00310EDF" w:rsidRPr="00310EDF" w:rsidRDefault="00310EDF" w:rsidP="005C72E7">
      <w:pPr>
        <w:pStyle w:val="ListParagraph"/>
        <w:spacing w:line="276" w:lineRule="auto"/>
        <w:ind w:left="0"/>
        <w:contextualSpacing/>
        <w:jc w:val="both"/>
        <w:rPr>
          <w:rFonts w:ascii="Arial" w:hAnsi="Arial" w:cs="Arial"/>
          <w:color w:val="000000" w:themeColor="text1"/>
          <w:sz w:val="22"/>
          <w:szCs w:val="22"/>
        </w:rPr>
      </w:pPr>
    </w:p>
    <w:p w:rsidR="00310EDF" w:rsidRPr="00310EDF" w:rsidRDefault="00EC2DD9" w:rsidP="00813CB0">
      <w:pPr>
        <w:pStyle w:val="ListParagraph"/>
        <w:tabs>
          <w:tab w:val="left" w:pos="540"/>
          <w:tab w:val="left" w:pos="720"/>
        </w:tabs>
        <w:ind w:left="0" w:right="29"/>
        <w:jc w:val="both"/>
        <w:rPr>
          <w:rFonts w:ascii="Arial" w:hAnsi="Arial" w:cs="Arial"/>
          <w:sz w:val="22"/>
          <w:szCs w:val="22"/>
        </w:rPr>
      </w:pPr>
      <w:r>
        <w:rPr>
          <w:rFonts w:ascii="Arial" w:hAnsi="Arial" w:cs="Arial"/>
          <w:sz w:val="22"/>
          <w:szCs w:val="22"/>
        </w:rPr>
        <w:t>13</w:t>
      </w:r>
      <w:r w:rsidR="00310EDF" w:rsidRPr="00310EDF">
        <w:rPr>
          <w:rFonts w:ascii="Arial" w:hAnsi="Arial" w:cs="Arial"/>
          <w:sz w:val="22"/>
          <w:szCs w:val="22"/>
        </w:rPr>
        <w:t>.1</w:t>
      </w:r>
      <w:r w:rsidR="00310EDF" w:rsidRPr="00310EDF">
        <w:rPr>
          <w:rFonts w:ascii="Arial" w:hAnsi="Arial" w:cs="Arial"/>
          <w:sz w:val="22"/>
          <w:szCs w:val="22"/>
        </w:rPr>
        <w:tab/>
        <w:t>We recommended that Management:</w:t>
      </w:r>
    </w:p>
    <w:p w:rsidR="00310EDF" w:rsidRPr="00310EDF" w:rsidRDefault="00310EDF" w:rsidP="00310EDF">
      <w:pPr>
        <w:pStyle w:val="ListParagraph"/>
        <w:tabs>
          <w:tab w:val="left" w:pos="720"/>
        </w:tabs>
        <w:ind w:left="0" w:right="29"/>
        <w:jc w:val="both"/>
        <w:rPr>
          <w:rFonts w:ascii="Arial" w:hAnsi="Arial" w:cs="Arial"/>
        </w:rPr>
      </w:pPr>
    </w:p>
    <w:p w:rsidR="00310EDF" w:rsidRPr="00310EDF" w:rsidRDefault="00310EDF" w:rsidP="00813CB0">
      <w:pPr>
        <w:pStyle w:val="ListParagraph"/>
        <w:numPr>
          <w:ilvl w:val="1"/>
          <w:numId w:val="26"/>
        </w:numPr>
        <w:tabs>
          <w:tab w:val="left" w:pos="1080"/>
          <w:tab w:val="left" w:pos="1260"/>
        </w:tabs>
        <w:ind w:left="540" w:firstLine="0"/>
        <w:jc w:val="both"/>
        <w:rPr>
          <w:rFonts w:ascii="Arial" w:hAnsi="Arial" w:cs="Arial"/>
          <w:sz w:val="22"/>
          <w:szCs w:val="22"/>
        </w:rPr>
      </w:pPr>
      <w:r w:rsidRPr="00310EDF">
        <w:rPr>
          <w:rFonts w:ascii="Arial" w:hAnsi="Arial" w:cs="Arial"/>
          <w:sz w:val="22"/>
          <w:szCs w:val="22"/>
        </w:rPr>
        <w:t>File appropriate charges against the defaulting Accountable Officer</w:t>
      </w:r>
      <w:r w:rsidR="00B838F7">
        <w:rPr>
          <w:rFonts w:ascii="Arial" w:hAnsi="Arial" w:cs="Arial"/>
          <w:sz w:val="22"/>
          <w:szCs w:val="22"/>
        </w:rPr>
        <w:t xml:space="preserve"> (AO)</w:t>
      </w:r>
      <w:r w:rsidRPr="00310EDF">
        <w:rPr>
          <w:rFonts w:ascii="Arial" w:hAnsi="Arial" w:cs="Arial"/>
          <w:sz w:val="22"/>
          <w:szCs w:val="22"/>
        </w:rPr>
        <w:t xml:space="preserve">  pursuant to Section 217 of the Revised Penal Code of the Philippines; </w:t>
      </w:r>
    </w:p>
    <w:p w:rsidR="00310EDF" w:rsidRPr="00310EDF" w:rsidRDefault="00310EDF" w:rsidP="00813CB0">
      <w:pPr>
        <w:pStyle w:val="ListParagraph"/>
        <w:ind w:left="540"/>
        <w:jc w:val="both"/>
        <w:rPr>
          <w:rFonts w:ascii="Arial" w:hAnsi="Arial" w:cs="Arial"/>
          <w:sz w:val="22"/>
          <w:szCs w:val="22"/>
        </w:rPr>
      </w:pPr>
    </w:p>
    <w:p w:rsidR="00310EDF" w:rsidRPr="00310EDF" w:rsidRDefault="00310EDF" w:rsidP="00813CB0">
      <w:pPr>
        <w:pStyle w:val="ListParagraph"/>
        <w:numPr>
          <w:ilvl w:val="1"/>
          <w:numId w:val="26"/>
        </w:numPr>
        <w:tabs>
          <w:tab w:val="left" w:pos="1080"/>
          <w:tab w:val="left" w:pos="1260"/>
        </w:tabs>
        <w:ind w:left="540" w:firstLine="0"/>
        <w:jc w:val="both"/>
        <w:rPr>
          <w:rFonts w:ascii="Arial" w:hAnsi="Arial" w:cs="Arial"/>
          <w:sz w:val="22"/>
          <w:szCs w:val="22"/>
        </w:rPr>
      </w:pPr>
      <w:r w:rsidRPr="00310EDF">
        <w:rPr>
          <w:rFonts w:ascii="Arial" w:hAnsi="Arial" w:cs="Arial"/>
          <w:sz w:val="22"/>
          <w:szCs w:val="22"/>
        </w:rPr>
        <w:t>Exercise closer supervision on the AOs to prevent mi</w:t>
      </w:r>
      <w:r w:rsidR="002604E6">
        <w:rPr>
          <w:rFonts w:ascii="Arial" w:hAnsi="Arial" w:cs="Arial"/>
          <w:sz w:val="22"/>
          <w:szCs w:val="22"/>
        </w:rPr>
        <w:t>suse or misapplication of funds; and</w:t>
      </w:r>
    </w:p>
    <w:p w:rsidR="00310EDF" w:rsidRDefault="00310EDF" w:rsidP="00813CB0">
      <w:pPr>
        <w:pStyle w:val="ListParagraph"/>
        <w:tabs>
          <w:tab w:val="left" w:pos="720"/>
        </w:tabs>
        <w:ind w:left="540" w:right="29"/>
        <w:jc w:val="both"/>
        <w:rPr>
          <w:rFonts w:ascii="Arial" w:hAnsi="Arial" w:cs="Arial"/>
          <w:sz w:val="22"/>
          <w:szCs w:val="22"/>
        </w:rPr>
      </w:pPr>
    </w:p>
    <w:p w:rsidR="007123F3" w:rsidRPr="00310EDF" w:rsidRDefault="007123F3" w:rsidP="00813CB0">
      <w:pPr>
        <w:pStyle w:val="ListParagraph"/>
        <w:tabs>
          <w:tab w:val="left" w:pos="720"/>
        </w:tabs>
        <w:ind w:left="540" w:right="29"/>
        <w:jc w:val="both"/>
        <w:rPr>
          <w:rFonts w:ascii="Arial" w:hAnsi="Arial" w:cs="Arial"/>
          <w:sz w:val="22"/>
          <w:szCs w:val="22"/>
        </w:rPr>
      </w:pPr>
    </w:p>
    <w:p w:rsidR="00310EDF" w:rsidRPr="00EC2DD9" w:rsidRDefault="00310EDF" w:rsidP="00813CB0">
      <w:pPr>
        <w:pStyle w:val="ListParagraph"/>
        <w:tabs>
          <w:tab w:val="left" w:pos="1080"/>
          <w:tab w:val="left" w:pos="1260"/>
          <w:tab w:val="left" w:pos="1440"/>
        </w:tabs>
        <w:ind w:left="540"/>
        <w:jc w:val="both"/>
        <w:rPr>
          <w:rFonts w:ascii="Arial" w:hAnsi="Arial" w:cs="Arial"/>
          <w:sz w:val="22"/>
          <w:szCs w:val="22"/>
        </w:rPr>
      </w:pPr>
      <w:r w:rsidRPr="00310EDF">
        <w:rPr>
          <w:rFonts w:ascii="Arial" w:hAnsi="Arial" w:cs="Arial"/>
          <w:sz w:val="22"/>
          <w:szCs w:val="22"/>
        </w:rPr>
        <w:t>c.</w:t>
      </w:r>
      <w:r w:rsidRPr="00310EDF">
        <w:rPr>
          <w:rFonts w:ascii="Arial" w:hAnsi="Arial" w:cs="Arial"/>
          <w:sz w:val="22"/>
          <w:szCs w:val="22"/>
        </w:rPr>
        <w:tab/>
      </w:r>
      <w:r w:rsidRPr="00EC2DD9">
        <w:rPr>
          <w:rFonts w:ascii="Arial" w:hAnsi="Arial" w:cs="Arial"/>
          <w:sz w:val="22"/>
          <w:szCs w:val="22"/>
        </w:rPr>
        <w:t>Institute monitoring controls</w:t>
      </w:r>
      <w:r w:rsidR="00B838F7">
        <w:rPr>
          <w:rFonts w:ascii="Arial" w:hAnsi="Arial" w:cs="Arial"/>
          <w:sz w:val="22"/>
          <w:szCs w:val="22"/>
        </w:rPr>
        <w:t xml:space="preserve"> to include, among others, the s</w:t>
      </w:r>
      <w:r w:rsidRPr="00EC2DD9">
        <w:rPr>
          <w:rFonts w:ascii="Arial" w:hAnsi="Arial" w:cs="Arial"/>
          <w:sz w:val="22"/>
          <w:szCs w:val="22"/>
        </w:rPr>
        <w:t xml:space="preserve">ubmission by the AOs of their report </w:t>
      </w:r>
      <w:r w:rsidR="00B838F7">
        <w:rPr>
          <w:rFonts w:ascii="Arial" w:hAnsi="Arial" w:cs="Arial"/>
          <w:sz w:val="22"/>
          <w:szCs w:val="22"/>
        </w:rPr>
        <w:t>of</w:t>
      </w:r>
      <w:r w:rsidRPr="00EC2DD9">
        <w:rPr>
          <w:rFonts w:ascii="Arial" w:hAnsi="Arial" w:cs="Arial"/>
          <w:sz w:val="22"/>
          <w:szCs w:val="22"/>
        </w:rPr>
        <w:t xml:space="preserve"> collections and deposits to the Accountants on a daily basis</w:t>
      </w:r>
      <w:r w:rsidR="00B838F7">
        <w:rPr>
          <w:rFonts w:ascii="Arial" w:hAnsi="Arial" w:cs="Arial"/>
          <w:sz w:val="22"/>
          <w:szCs w:val="22"/>
        </w:rPr>
        <w:t>,</w:t>
      </w:r>
      <w:r w:rsidRPr="00EC2DD9">
        <w:rPr>
          <w:rFonts w:ascii="Arial" w:hAnsi="Arial" w:cs="Arial"/>
          <w:sz w:val="22"/>
          <w:szCs w:val="22"/>
        </w:rPr>
        <w:t xml:space="preserve"> for monitoring</w:t>
      </w:r>
      <w:r w:rsidR="00B838F7">
        <w:rPr>
          <w:rFonts w:ascii="Arial" w:hAnsi="Arial" w:cs="Arial"/>
          <w:sz w:val="22"/>
          <w:szCs w:val="22"/>
        </w:rPr>
        <w:t xml:space="preserve"> purposes</w:t>
      </w:r>
      <w:r w:rsidRPr="00EC2DD9">
        <w:rPr>
          <w:rFonts w:ascii="Arial" w:hAnsi="Arial" w:cs="Arial"/>
          <w:sz w:val="22"/>
          <w:szCs w:val="22"/>
        </w:rPr>
        <w:t xml:space="preserve"> to prevent possible misuse, misapplication or even loss of funds.</w:t>
      </w:r>
    </w:p>
    <w:p w:rsidR="00380D65" w:rsidRDefault="00380D65" w:rsidP="00380D65">
      <w:pPr>
        <w:pStyle w:val="ListParagraph"/>
        <w:spacing w:line="276" w:lineRule="auto"/>
        <w:ind w:left="0"/>
        <w:contextualSpacing/>
        <w:jc w:val="both"/>
        <w:rPr>
          <w:rFonts w:ascii="Arial" w:hAnsi="Arial" w:cs="Arial"/>
          <w:color w:val="7030A0"/>
          <w:sz w:val="22"/>
          <w:szCs w:val="22"/>
        </w:rPr>
      </w:pPr>
    </w:p>
    <w:p w:rsidR="002604E6" w:rsidRPr="00EC2DD9" w:rsidRDefault="002604E6" w:rsidP="00380D65">
      <w:pPr>
        <w:pStyle w:val="ListParagraph"/>
        <w:spacing w:line="276" w:lineRule="auto"/>
        <w:ind w:left="0"/>
        <w:contextualSpacing/>
        <w:jc w:val="both"/>
        <w:rPr>
          <w:rFonts w:ascii="Arial" w:hAnsi="Arial" w:cs="Arial"/>
          <w:color w:val="7030A0"/>
          <w:sz w:val="22"/>
          <w:szCs w:val="22"/>
        </w:rPr>
      </w:pPr>
    </w:p>
    <w:p w:rsidR="001D0AAB" w:rsidRPr="00486DCF" w:rsidRDefault="001D0AAB" w:rsidP="001D0AAB">
      <w:pPr>
        <w:pStyle w:val="ListParagraph"/>
        <w:ind w:left="0"/>
        <w:contextualSpacing/>
        <w:jc w:val="both"/>
        <w:rPr>
          <w:rFonts w:ascii="Arial" w:hAnsi="Arial" w:cs="Arial"/>
          <w:b/>
          <w:i/>
          <w:sz w:val="22"/>
          <w:szCs w:val="22"/>
        </w:rPr>
      </w:pPr>
      <w:r w:rsidRPr="00486DCF">
        <w:rPr>
          <w:rFonts w:ascii="Arial" w:hAnsi="Arial" w:cs="Arial"/>
          <w:b/>
          <w:sz w:val="22"/>
          <w:szCs w:val="22"/>
        </w:rPr>
        <w:t>SUMMARY OF AUDIT DISALLOWANCES, CHARGES AND SUSPENSIONS</w:t>
      </w:r>
    </w:p>
    <w:p w:rsidR="001D0AAB" w:rsidRPr="00DB0C3B" w:rsidRDefault="001D0AAB" w:rsidP="001D0AAB">
      <w:pPr>
        <w:pStyle w:val="ListParagraph"/>
        <w:ind w:left="0" w:firstLine="720"/>
        <w:contextualSpacing/>
        <w:rPr>
          <w:rFonts w:ascii="Arial" w:hAnsi="Arial" w:cs="Arial"/>
          <w:sz w:val="22"/>
          <w:szCs w:val="22"/>
        </w:rPr>
      </w:pPr>
    </w:p>
    <w:p w:rsidR="001D0AAB" w:rsidRPr="00DB0C3B" w:rsidRDefault="001D0AAB" w:rsidP="001D0AAB">
      <w:pPr>
        <w:pStyle w:val="ListParagraph"/>
        <w:ind w:left="0"/>
        <w:contextualSpacing/>
        <w:jc w:val="both"/>
        <w:rPr>
          <w:rFonts w:ascii="Arial" w:hAnsi="Arial" w:cs="Arial"/>
          <w:sz w:val="22"/>
          <w:szCs w:val="22"/>
        </w:rPr>
      </w:pPr>
      <w:r w:rsidRPr="00DB0C3B">
        <w:rPr>
          <w:rFonts w:ascii="Arial" w:hAnsi="Arial" w:cs="Arial"/>
          <w:sz w:val="22"/>
          <w:szCs w:val="22"/>
        </w:rPr>
        <w:t>Below is the summary of audit disallowances and suspensions as at December 31, 201</w:t>
      </w:r>
      <w:r w:rsidR="00486DCF">
        <w:rPr>
          <w:rFonts w:ascii="Arial" w:hAnsi="Arial" w:cs="Arial"/>
          <w:sz w:val="22"/>
          <w:szCs w:val="22"/>
        </w:rPr>
        <w:t>3</w:t>
      </w:r>
      <w:r w:rsidRPr="00DB0C3B">
        <w:rPr>
          <w:rFonts w:ascii="Arial" w:hAnsi="Arial" w:cs="Arial"/>
          <w:sz w:val="22"/>
          <w:szCs w:val="22"/>
        </w:rPr>
        <w:t>:</w:t>
      </w:r>
    </w:p>
    <w:p w:rsidR="001D0AAB" w:rsidRPr="00DB0C3B" w:rsidRDefault="001D0AAB" w:rsidP="001D0AAB">
      <w:pPr>
        <w:jc w:val="center"/>
        <w:rPr>
          <w:rFonts w:ascii="Arial" w:hAnsi="Arial" w:cs="Arial"/>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3"/>
        <w:gridCol w:w="6210"/>
        <w:gridCol w:w="540"/>
        <w:gridCol w:w="90"/>
        <w:gridCol w:w="1352"/>
      </w:tblGrid>
      <w:tr w:rsidR="00813CB0" w:rsidRPr="00DB0C3B" w:rsidTr="00813CB0">
        <w:tc>
          <w:tcPr>
            <w:tcW w:w="6593" w:type="dxa"/>
            <w:gridSpan w:val="2"/>
            <w:tcBorders>
              <w:top w:val="single" w:sz="4" w:space="0" w:color="auto"/>
              <w:left w:val="nil"/>
              <w:bottom w:val="single" w:sz="4" w:space="0" w:color="auto"/>
              <w:right w:val="nil"/>
            </w:tcBorders>
            <w:shd w:val="clear" w:color="auto" w:fill="auto"/>
          </w:tcPr>
          <w:p w:rsidR="00813CB0" w:rsidRPr="00486DCF" w:rsidRDefault="00813CB0" w:rsidP="00813CB0">
            <w:pPr>
              <w:ind w:hanging="108"/>
              <w:rPr>
                <w:rFonts w:ascii="Arial" w:hAnsi="Arial" w:cs="Arial"/>
                <w:b/>
                <w:sz w:val="20"/>
                <w:szCs w:val="20"/>
              </w:rPr>
            </w:pPr>
            <w:r w:rsidRPr="00486DCF">
              <w:rPr>
                <w:rFonts w:ascii="Arial" w:hAnsi="Arial" w:cs="Arial"/>
                <w:b/>
                <w:sz w:val="20"/>
                <w:szCs w:val="20"/>
              </w:rPr>
              <w:t>Particulars</w:t>
            </w:r>
          </w:p>
        </w:tc>
        <w:tc>
          <w:tcPr>
            <w:tcW w:w="630" w:type="dxa"/>
            <w:gridSpan w:val="2"/>
            <w:tcBorders>
              <w:top w:val="single" w:sz="4" w:space="0" w:color="auto"/>
              <w:left w:val="nil"/>
              <w:bottom w:val="single" w:sz="4" w:space="0" w:color="auto"/>
              <w:right w:val="nil"/>
            </w:tcBorders>
            <w:shd w:val="clear" w:color="auto" w:fill="auto"/>
          </w:tcPr>
          <w:p w:rsidR="00813CB0" w:rsidRPr="00486DCF" w:rsidRDefault="00813CB0" w:rsidP="002B6312">
            <w:pPr>
              <w:jc w:val="center"/>
              <w:rPr>
                <w:rFonts w:ascii="Arial" w:hAnsi="Arial" w:cs="Arial"/>
                <w:b/>
                <w:sz w:val="20"/>
                <w:szCs w:val="20"/>
              </w:rPr>
            </w:pPr>
            <w:r w:rsidRPr="00486DCF">
              <w:rPr>
                <w:rFonts w:ascii="Arial" w:hAnsi="Arial" w:cs="Arial"/>
                <w:b/>
                <w:sz w:val="20"/>
                <w:szCs w:val="20"/>
              </w:rPr>
              <w:t>Qty.</w:t>
            </w:r>
          </w:p>
        </w:tc>
        <w:tc>
          <w:tcPr>
            <w:tcW w:w="1352" w:type="dxa"/>
            <w:tcBorders>
              <w:top w:val="single" w:sz="4" w:space="0" w:color="auto"/>
              <w:left w:val="nil"/>
              <w:bottom w:val="single" w:sz="4" w:space="0" w:color="auto"/>
              <w:right w:val="nil"/>
            </w:tcBorders>
            <w:shd w:val="clear" w:color="auto" w:fill="auto"/>
          </w:tcPr>
          <w:p w:rsidR="00813CB0" w:rsidRPr="00486DCF" w:rsidRDefault="00813CB0" w:rsidP="002604E6">
            <w:pPr>
              <w:tabs>
                <w:tab w:val="left" w:pos="1309"/>
              </w:tabs>
              <w:ind w:right="-83"/>
              <w:jc w:val="right"/>
              <w:rPr>
                <w:rFonts w:ascii="Arial" w:hAnsi="Arial" w:cs="Arial"/>
                <w:b/>
                <w:sz w:val="20"/>
                <w:szCs w:val="20"/>
              </w:rPr>
            </w:pPr>
            <w:r w:rsidRPr="00486DCF">
              <w:rPr>
                <w:rFonts w:ascii="Arial" w:hAnsi="Arial" w:cs="Arial"/>
                <w:b/>
                <w:sz w:val="20"/>
                <w:szCs w:val="20"/>
              </w:rPr>
              <w:t xml:space="preserve">  Amount</w:t>
            </w:r>
          </w:p>
        </w:tc>
      </w:tr>
      <w:tr w:rsidR="001D0AAB" w:rsidRPr="00DB0C3B" w:rsidTr="00813CB0">
        <w:tc>
          <w:tcPr>
            <w:tcW w:w="6593" w:type="dxa"/>
            <w:gridSpan w:val="2"/>
            <w:tcBorders>
              <w:top w:val="single" w:sz="4" w:space="0" w:color="auto"/>
              <w:left w:val="nil"/>
              <w:bottom w:val="nil"/>
              <w:right w:val="nil"/>
            </w:tcBorders>
            <w:shd w:val="clear" w:color="auto" w:fill="auto"/>
          </w:tcPr>
          <w:p w:rsidR="001D0AAB" w:rsidRPr="00DB0C3B" w:rsidRDefault="001D0AAB" w:rsidP="00813CB0">
            <w:pPr>
              <w:ind w:hanging="108"/>
              <w:rPr>
                <w:rFonts w:ascii="Arial" w:hAnsi="Arial" w:cs="Arial"/>
                <w:sz w:val="20"/>
                <w:szCs w:val="20"/>
              </w:rPr>
            </w:pPr>
            <w:r w:rsidRPr="00DB0C3B">
              <w:rPr>
                <w:rFonts w:ascii="Arial" w:hAnsi="Arial" w:cs="Arial"/>
                <w:sz w:val="20"/>
                <w:szCs w:val="20"/>
              </w:rPr>
              <w:t>Disallowances</w:t>
            </w:r>
          </w:p>
        </w:tc>
        <w:tc>
          <w:tcPr>
            <w:tcW w:w="630" w:type="dxa"/>
            <w:gridSpan w:val="2"/>
            <w:tcBorders>
              <w:top w:val="single" w:sz="4" w:space="0" w:color="auto"/>
              <w:left w:val="nil"/>
              <w:bottom w:val="nil"/>
              <w:right w:val="nil"/>
            </w:tcBorders>
            <w:shd w:val="clear" w:color="auto" w:fill="auto"/>
          </w:tcPr>
          <w:p w:rsidR="001D0AAB" w:rsidRPr="00DB0C3B" w:rsidRDefault="001D0AAB" w:rsidP="002B6312">
            <w:pPr>
              <w:jc w:val="center"/>
              <w:rPr>
                <w:rFonts w:ascii="Arial" w:hAnsi="Arial" w:cs="Arial"/>
                <w:sz w:val="20"/>
                <w:szCs w:val="20"/>
              </w:rPr>
            </w:pPr>
          </w:p>
        </w:tc>
        <w:tc>
          <w:tcPr>
            <w:tcW w:w="1352" w:type="dxa"/>
            <w:tcBorders>
              <w:top w:val="single" w:sz="4" w:space="0" w:color="auto"/>
              <w:left w:val="nil"/>
              <w:bottom w:val="nil"/>
              <w:right w:val="nil"/>
            </w:tcBorders>
            <w:shd w:val="clear" w:color="auto" w:fill="auto"/>
          </w:tcPr>
          <w:p w:rsidR="001D0AAB" w:rsidRPr="00DB0C3B" w:rsidRDefault="001D0AAB" w:rsidP="002B6312">
            <w:pPr>
              <w:tabs>
                <w:tab w:val="left" w:pos="1117"/>
              </w:tabs>
              <w:jc w:val="center"/>
              <w:rPr>
                <w:rFonts w:ascii="Arial" w:hAnsi="Arial" w:cs="Arial"/>
                <w:sz w:val="20"/>
                <w:szCs w:val="20"/>
              </w:rPr>
            </w:pPr>
          </w:p>
        </w:tc>
      </w:tr>
      <w:tr w:rsidR="001D0AAB" w:rsidRPr="00DB0C3B" w:rsidTr="00813CB0">
        <w:tc>
          <w:tcPr>
            <w:tcW w:w="383" w:type="dxa"/>
            <w:tcBorders>
              <w:top w:val="nil"/>
              <w:left w:val="nil"/>
              <w:bottom w:val="nil"/>
              <w:right w:val="nil"/>
            </w:tcBorders>
            <w:shd w:val="clear" w:color="auto" w:fill="auto"/>
          </w:tcPr>
          <w:p w:rsidR="001D0AAB" w:rsidRPr="00DB0C3B" w:rsidRDefault="001D0AAB" w:rsidP="00813CB0">
            <w:pPr>
              <w:ind w:left="-108"/>
              <w:jc w:val="center"/>
              <w:rPr>
                <w:rFonts w:ascii="Arial" w:hAnsi="Arial" w:cs="Arial"/>
                <w:sz w:val="20"/>
                <w:szCs w:val="20"/>
              </w:rPr>
            </w:pPr>
            <w:r w:rsidRPr="00DB0C3B">
              <w:rPr>
                <w:rFonts w:ascii="Arial" w:hAnsi="Arial" w:cs="Arial"/>
                <w:sz w:val="20"/>
                <w:szCs w:val="20"/>
              </w:rPr>
              <w:t>a.</w:t>
            </w:r>
          </w:p>
        </w:tc>
        <w:tc>
          <w:tcPr>
            <w:tcW w:w="6210" w:type="dxa"/>
            <w:tcBorders>
              <w:top w:val="nil"/>
              <w:left w:val="nil"/>
              <w:bottom w:val="nil"/>
              <w:right w:val="nil"/>
            </w:tcBorders>
            <w:shd w:val="clear" w:color="auto" w:fill="auto"/>
          </w:tcPr>
          <w:p w:rsidR="001D0AAB" w:rsidRPr="00DB0C3B" w:rsidRDefault="001D0AAB" w:rsidP="002B6312">
            <w:pPr>
              <w:jc w:val="both"/>
              <w:rPr>
                <w:rFonts w:ascii="Arial" w:hAnsi="Arial" w:cs="Arial"/>
                <w:sz w:val="20"/>
                <w:szCs w:val="20"/>
              </w:rPr>
            </w:pPr>
            <w:r w:rsidRPr="00DB0C3B">
              <w:rPr>
                <w:rFonts w:ascii="Arial" w:hAnsi="Arial" w:cs="Arial"/>
                <w:sz w:val="20"/>
                <w:szCs w:val="20"/>
              </w:rPr>
              <w:t>Disallowances at the Central and Branch Offices with pending appeal</w:t>
            </w:r>
          </w:p>
        </w:tc>
        <w:tc>
          <w:tcPr>
            <w:tcW w:w="630" w:type="dxa"/>
            <w:gridSpan w:val="2"/>
            <w:tcBorders>
              <w:top w:val="nil"/>
              <w:left w:val="nil"/>
              <w:bottom w:val="nil"/>
              <w:right w:val="nil"/>
            </w:tcBorders>
            <w:shd w:val="clear" w:color="auto" w:fill="auto"/>
          </w:tcPr>
          <w:p w:rsidR="001D0AAB" w:rsidRPr="00DB0C3B" w:rsidRDefault="001D0AAB" w:rsidP="002B6312">
            <w:pPr>
              <w:jc w:val="center"/>
              <w:rPr>
                <w:rFonts w:ascii="Arial" w:hAnsi="Arial" w:cs="Arial"/>
                <w:sz w:val="20"/>
                <w:szCs w:val="20"/>
              </w:rPr>
            </w:pPr>
          </w:p>
          <w:p w:rsidR="001D0AAB" w:rsidRPr="00DB0C3B" w:rsidRDefault="00380D65" w:rsidP="002B6312">
            <w:pPr>
              <w:jc w:val="center"/>
              <w:rPr>
                <w:rFonts w:ascii="Arial" w:hAnsi="Arial" w:cs="Arial"/>
                <w:sz w:val="20"/>
                <w:szCs w:val="20"/>
              </w:rPr>
            </w:pPr>
            <w:r>
              <w:rPr>
                <w:rFonts w:ascii="Arial" w:hAnsi="Arial" w:cs="Arial"/>
                <w:sz w:val="20"/>
                <w:szCs w:val="20"/>
              </w:rPr>
              <w:t>20</w:t>
            </w:r>
          </w:p>
        </w:tc>
        <w:tc>
          <w:tcPr>
            <w:tcW w:w="1352" w:type="dxa"/>
            <w:tcBorders>
              <w:top w:val="nil"/>
              <w:left w:val="nil"/>
              <w:bottom w:val="nil"/>
              <w:right w:val="nil"/>
            </w:tcBorders>
            <w:shd w:val="clear" w:color="auto" w:fill="auto"/>
          </w:tcPr>
          <w:p w:rsidR="001D0AAB" w:rsidRPr="00DB0C3B" w:rsidRDefault="001D0AAB" w:rsidP="002B6312">
            <w:pPr>
              <w:tabs>
                <w:tab w:val="left" w:pos="1117"/>
              </w:tabs>
              <w:jc w:val="right"/>
              <w:rPr>
                <w:rFonts w:ascii="Arial" w:hAnsi="Arial" w:cs="Arial"/>
                <w:sz w:val="20"/>
                <w:szCs w:val="20"/>
              </w:rPr>
            </w:pPr>
          </w:p>
          <w:p w:rsidR="001D0AAB" w:rsidRPr="00DB0C3B" w:rsidRDefault="00DB0C3B" w:rsidP="00813CB0">
            <w:pPr>
              <w:tabs>
                <w:tab w:val="left" w:pos="1219"/>
              </w:tabs>
              <w:ind w:right="-83"/>
              <w:jc w:val="right"/>
              <w:rPr>
                <w:rFonts w:ascii="Arial" w:hAnsi="Arial" w:cs="Arial"/>
                <w:sz w:val="20"/>
                <w:szCs w:val="20"/>
              </w:rPr>
            </w:pPr>
            <w:r w:rsidRPr="00DB0C3B">
              <w:rPr>
                <w:rFonts w:ascii="Arial" w:hAnsi="Arial" w:cs="Arial"/>
                <w:sz w:val="20"/>
                <w:szCs w:val="20"/>
              </w:rPr>
              <w:t>P</w:t>
            </w:r>
            <w:r w:rsidR="00813CB0">
              <w:rPr>
                <w:rFonts w:ascii="Arial" w:hAnsi="Arial" w:cs="Arial"/>
                <w:sz w:val="20"/>
                <w:szCs w:val="20"/>
              </w:rPr>
              <w:t xml:space="preserve"> </w:t>
            </w:r>
            <w:r w:rsidR="00380D65">
              <w:rPr>
                <w:rFonts w:ascii="Arial" w:hAnsi="Arial" w:cs="Arial"/>
                <w:sz w:val="20"/>
                <w:szCs w:val="20"/>
              </w:rPr>
              <w:t>18,393,621</w:t>
            </w:r>
          </w:p>
        </w:tc>
      </w:tr>
      <w:tr w:rsidR="001D0AAB" w:rsidRPr="00DB0C3B" w:rsidTr="00813CB0">
        <w:tc>
          <w:tcPr>
            <w:tcW w:w="383" w:type="dxa"/>
            <w:tcBorders>
              <w:top w:val="nil"/>
              <w:left w:val="nil"/>
              <w:bottom w:val="nil"/>
              <w:right w:val="nil"/>
            </w:tcBorders>
            <w:shd w:val="clear" w:color="auto" w:fill="auto"/>
          </w:tcPr>
          <w:p w:rsidR="001D0AAB" w:rsidRPr="00DB0C3B" w:rsidRDefault="001D0AAB" w:rsidP="00813CB0">
            <w:pPr>
              <w:ind w:left="-108"/>
              <w:jc w:val="center"/>
              <w:rPr>
                <w:rFonts w:ascii="Arial" w:hAnsi="Arial" w:cs="Arial"/>
                <w:sz w:val="20"/>
                <w:szCs w:val="20"/>
              </w:rPr>
            </w:pPr>
            <w:r w:rsidRPr="00DB0C3B">
              <w:rPr>
                <w:rFonts w:ascii="Arial" w:hAnsi="Arial" w:cs="Arial"/>
                <w:sz w:val="20"/>
                <w:szCs w:val="20"/>
              </w:rPr>
              <w:t>b.</w:t>
            </w:r>
          </w:p>
        </w:tc>
        <w:tc>
          <w:tcPr>
            <w:tcW w:w="6210" w:type="dxa"/>
            <w:tcBorders>
              <w:top w:val="nil"/>
              <w:left w:val="nil"/>
              <w:bottom w:val="nil"/>
              <w:right w:val="nil"/>
            </w:tcBorders>
            <w:shd w:val="clear" w:color="auto" w:fill="auto"/>
          </w:tcPr>
          <w:p w:rsidR="001D0AAB" w:rsidRPr="00DB0C3B" w:rsidRDefault="001D0AAB" w:rsidP="002B6312">
            <w:pPr>
              <w:jc w:val="both"/>
              <w:rPr>
                <w:rFonts w:ascii="Arial" w:hAnsi="Arial" w:cs="Arial"/>
                <w:sz w:val="20"/>
                <w:szCs w:val="20"/>
              </w:rPr>
            </w:pPr>
            <w:r w:rsidRPr="00DB0C3B">
              <w:rPr>
                <w:rFonts w:ascii="Arial" w:hAnsi="Arial" w:cs="Arial"/>
                <w:sz w:val="20"/>
                <w:szCs w:val="20"/>
              </w:rPr>
              <w:t>Disallowances at the Central Office without appeal</w:t>
            </w:r>
          </w:p>
        </w:tc>
        <w:tc>
          <w:tcPr>
            <w:tcW w:w="630" w:type="dxa"/>
            <w:gridSpan w:val="2"/>
            <w:tcBorders>
              <w:top w:val="nil"/>
              <w:left w:val="nil"/>
              <w:bottom w:val="nil"/>
              <w:right w:val="nil"/>
            </w:tcBorders>
            <w:shd w:val="clear" w:color="auto" w:fill="auto"/>
          </w:tcPr>
          <w:p w:rsidR="001D0AAB" w:rsidRPr="00DB0C3B" w:rsidRDefault="001D0AAB" w:rsidP="002B6312">
            <w:pPr>
              <w:jc w:val="center"/>
              <w:rPr>
                <w:rFonts w:ascii="Arial" w:hAnsi="Arial" w:cs="Arial"/>
                <w:sz w:val="20"/>
                <w:szCs w:val="20"/>
              </w:rPr>
            </w:pPr>
            <w:r w:rsidRPr="00DB0C3B">
              <w:rPr>
                <w:rFonts w:ascii="Arial" w:hAnsi="Arial" w:cs="Arial"/>
                <w:sz w:val="20"/>
                <w:szCs w:val="20"/>
              </w:rPr>
              <w:t xml:space="preserve"> </w:t>
            </w:r>
            <w:r w:rsidR="00B650D4">
              <w:rPr>
                <w:rFonts w:ascii="Arial" w:hAnsi="Arial" w:cs="Arial"/>
                <w:sz w:val="20"/>
                <w:szCs w:val="20"/>
              </w:rPr>
              <w:t>3</w:t>
            </w:r>
          </w:p>
        </w:tc>
        <w:tc>
          <w:tcPr>
            <w:tcW w:w="1352" w:type="dxa"/>
            <w:tcBorders>
              <w:top w:val="nil"/>
              <w:left w:val="nil"/>
              <w:bottom w:val="nil"/>
              <w:right w:val="nil"/>
            </w:tcBorders>
            <w:shd w:val="clear" w:color="auto" w:fill="auto"/>
          </w:tcPr>
          <w:p w:rsidR="001D0AAB" w:rsidRPr="00DB0C3B" w:rsidRDefault="00DB0C3B" w:rsidP="00813CB0">
            <w:pPr>
              <w:tabs>
                <w:tab w:val="left" w:pos="1219"/>
                <w:tab w:val="left" w:pos="1309"/>
              </w:tabs>
              <w:ind w:right="-83"/>
              <w:jc w:val="right"/>
              <w:rPr>
                <w:rFonts w:ascii="Arial" w:hAnsi="Arial" w:cs="Arial"/>
                <w:sz w:val="20"/>
                <w:szCs w:val="20"/>
              </w:rPr>
            </w:pPr>
            <w:r w:rsidRPr="00DB0C3B">
              <w:rPr>
                <w:rFonts w:ascii="Arial" w:hAnsi="Arial" w:cs="Arial"/>
                <w:sz w:val="20"/>
                <w:szCs w:val="20"/>
              </w:rPr>
              <w:t>110,990</w:t>
            </w:r>
          </w:p>
        </w:tc>
      </w:tr>
      <w:tr w:rsidR="001D0AAB" w:rsidRPr="00DB0C3B" w:rsidTr="00813CB0">
        <w:tc>
          <w:tcPr>
            <w:tcW w:w="383" w:type="dxa"/>
            <w:tcBorders>
              <w:top w:val="nil"/>
              <w:left w:val="nil"/>
              <w:bottom w:val="nil"/>
              <w:right w:val="nil"/>
            </w:tcBorders>
            <w:shd w:val="clear" w:color="auto" w:fill="auto"/>
          </w:tcPr>
          <w:p w:rsidR="001D0AAB" w:rsidRPr="00DB0C3B" w:rsidRDefault="001D0AAB" w:rsidP="00813CB0">
            <w:pPr>
              <w:ind w:left="-108"/>
              <w:jc w:val="center"/>
              <w:rPr>
                <w:rFonts w:ascii="Arial" w:hAnsi="Arial" w:cs="Arial"/>
                <w:sz w:val="20"/>
                <w:szCs w:val="20"/>
              </w:rPr>
            </w:pPr>
            <w:r w:rsidRPr="00DB0C3B">
              <w:rPr>
                <w:rFonts w:ascii="Arial" w:hAnsi="Arial" w:cs="Arial"/>
                <w:sz w:val="20"/>
                <w:szCs w:val="20"/>
              </w:rPr>
              <w:t>c.</w:t>
            </w:r>
          </w:p>
        </w:tc>
        <w:tc>
          <w:tcPr>
            <w:tcW w:w="6210" w:type="dxa"/>
            <w:tcBorders>
              <w:top w:val="nil"/>
              <w:left w:val="nil"/>
              <w:bottom w:val="nil"/>
              <w:right w:val="nil"/>
            </w:tcBorders>
            <w:shd w:val="clear" w:color="auto" w:fill="auto"/>
          </w:tcPr>
          <w:p w:rsidR="001D0AAB" w:rsidRPr="00DB0C3B" w:rsidRDefault="001D0AAB" w:rsidP="002B6312">
            <w:pPr>
              <w:jc w:val="both"/>
              <w:rPr>
                <w:rFonts w:ascii="Arial" w:hAnsi="Arial" w:cs="Arial"/>
                <w:sz w:val="20"/>
                <w:szCs w:val="20"/>
              </w:rPr>
            </w:pPr>
            <w:r w:rsidRPr="00DB0C3B">
              <w:rPr>
                <w:rFonts w:ascii="Arial" w:hAnsi="Arial" w:cs="Arial"/>
                <w:sz w:val="20"/>
                <w:szCs w:val="20"/>
              </w:rPr>
              <w:t>Disallowances with no appeal but still within the appeal period</w:t>
            </w:r>
          </w:p>
        </w:tc>
        <w:tc>
          <w:tcPr>
            <w:tcW w:w="630" w:type="dxa"/>
            <w:gridSpan w:val="2"/>
            <w:tcBorders>
              <w:top w:val="nil"/>
              <w:left w:val="nil"/>
              <w:bottom w:val="nil"/>
              <w:right w:val="nil"/>
            </w:tcBorders>
            <w:shd w:val="clear" w:color="auto" w:fill="auto"/>
          </w:tcPr>
          <w:p w:rsidR="001D0AAB" w:rsidRPr="00DB0C3B" w:rsidRDefault="001D0AAB" w:rsidP="002B6312">
            <w:pPr>
              <w:jc w:val="center"/>
              <w:rPr>
                <w:rFonts w:ascii="Arial" w:hAnsi="Arial" w:cs="Arial"/>
                <w:sz w:val="20"/>
                <w:szCs w:val="20"/>
              </w:rPr>
            </w:pPr>
            <w:r w:rsidRPr="00DB0C3B">
              <w:rPr>
                <w:rFonts w:ascii="Arial" w:hAnsi="Arial" w:cs="Arial"/>
                <w:sz w:val="20"/>
                <w:szCs w:val="20"/>
              </w:rPr>
              <w:t xml:space="preserve"> </w:t>
            </w:r>
            <w:r w:rsidR="00B650D4">
              <w:rPr>
                <w:rFonts w:ascii="Arial" w:hAnsi="Arial" w:cs="Arial"/>
                <w:sz w:val="20"/>
                <w:szCs w:val="20"/>
              </w:rPr>
              <w:t>2</w:t>
            </w:r>
          </w:p>
        </w:tc>
        <w:tc>
          <w:tcPr>
            <w:tcW w:w="1352" w:type="dxa"/>
            <w:tcBorders>
              <w:top w:val="nil"/>
              <w:left w:val="nil"/>
              <w:bottom w:val="nil"/>
              <w:right w:val="nil"/>
            </w:tcBorders>
            <w:shd w:val="clear" w:color="auto" w:fill="auto"/>
          </w:tcPr>
          <w:p w:rsidR="001D0AAB" w:rsidRPr="00DB0C3B" w:rsidRDefault="00DB0C3B" w:rsidP="00813CB0">
            <w:pPr>
              <w:tabs>
                <w:tab w:val="left" w:pos="1309"/>
              </w:tabs>
              <w:ind w:right="-83"/>
              <w:jc w:val="right"/>
              <w:rPr>
                <w:rFonts w:ascii="Arial" w:hAnsi="Arial" w:cs="Arial"/>
                <w:sz w:val="20"/>
                <w:szCs w:val="20"/>
              </w:rPr>
            </w:pPr>
            <w:r w:rsidRPr="00DB0C3B">
              <w:rPr>
                <w:rFonts w:ascii="Arial" w:hAnsi="Arial" w:cs="Arial"/>
                <w:sz w:val="20"/>
                <w:szCs w:val="20"/>
              </w:rPr>
              <w:t>1,874,831</w:t>
            </w:r>
          </w:p>
        </w:tc>
      </w:tr>
      <w:tr w:rsidR="00DB0C3B" w:rsidRPr="00DB0C3B" w:rsidTr="00813CB0">
        <w:tc>
          <w:tcPr>
            <w:tcW w:w="383" w:type="dxa"/>
            <w:tcBorders>
              <w:top w:val="nil"/>
              <w:left w:val="nil"/>
              <w:bottom w:val="nil"/>
              <w:right w:val="nil"/>
            </w:tcBorders>
            <w:shd w:val="clear" w:color="auto" w:fill="auto"/>
          </w:tcPr>
          <w:p w:rsidR="00DB0C3B" w:rsidRPr="00DB0C3B" w:rsidRDefault="00DB0C3B" w:rsidP="00813CB0">
            <w:pPr>
              <w:ind w:left="-108"/>
              <w:jc w:val="center"/>
              <w:rPr>
                <w:rFonts w:ascii="Arial" w:hAnsi="Arial" w:cs="Arial"/>
                <w:sz w:val="20"/>
                <w:szCs w:val="20"/>
              </w:rPr>
            </w:pPr>
            <w:r w:rsidRPr="00DB0C3B">
              <w:rPr>
                <w:rFonts w:ascii="Arial" w:hAnsi="Arial" w:cs="Arial"/>
                <w:sz w:val="20"/>
                <w:szCs w:val="20"/>
              </w:rPr>
              <w:t>d.</w:t>
            </w:r>
          </w:p>
        </w:tc>
        <w:tc>
          <w:tcPr>
            <w:tcW w:w="6210" w:type="dxa"/>
            <w:tcBorders>
              <w:top w:val="nil"/>
              <w:left w:val="nil"/>
              <w:bottom w:val="nil"/>
              <w:right w:val="nil"/>
            </w:tcBorders>
            <w:shd w:val="clear" w:color="auto" w:fill="auto"/>
          </w:tcPr>
          <w:p w:rsidR="00DB0C3B" w:rsidRPr="00DB0C3B" w:rsidRDefault="00DB0C3B" w:rsidP="002B6312">
            <w:pPr>
              <w:jc w:val="both"/>
              <w:rPr>
                <w:rFonts w:ascii="Arial" w:hAnsi="Arial" w:cs="Arial"/>
                <w:sz w:val="20"/>
                <w:szCs w:val="20"/>
              </w:rPr>
            </w:pPr>
            <w:r w:rsidRPr="00DB0C3B">
              <w:rPr>
                <w:rFonts w:ascii="Arial" w:hAnsi="Arial" w:cs="Arial"/>
                <w:sz w:val="20"/>
                <w:szCs w:val="20"/>
              </w:rPr>
              <w:t xml:space="preserve">Disallowances at the Central Office with decision from the </w:t>
            </w:r>
            <w:r w:rsidR="00C77F2C">
              <w:rPr>
                <w:rFonts w:ascii="Arial" w:hAnsi="Arial" w:cs="Arial"/>
                <w:sz w:val="20"/>
                <w:szCs w:val="20"/>
              </w:rPr>
              <w:t xml:space="preserve">former COA - </w:t>
            </w:r>
            <w:r w:rsidRPr="00DB0C3B">
              <w:rPr>
                <w:rFonts w:ascii="Arial" w:hAnsi="Arial" w:cs="Arial"/>
                <w:sz w:val="20"/>
                <w:szCs w:val="20"/>
              </w:rPr>
              <w:t>Adjudication and Settlement Board</w:t>
            </w:r>
          </w:p>
        </w:tc>
        <w:tc>
          <w:tcPr>
            <w:tcW w:w="630" w:type="dxa"/>
            <w:gridSpan w:val="2"/>
            <w:tcBorders>
              <w:top w:val="nil"/>
              <w:left w:val="nil"/>
              <w:bottom w:val="nil"/>
              <w:right w:val="nil"/>
            </w:tcBorders>
            <w:shd w:val="clear" w:color="auto" w:fill="auto"/>
          </w:tcPr>
          <w:p w:rsidR="00380D65" w:rsidRDefault="00380D65" w:rsidP="00B650D4">
            <w:pPr>
              <w:jc w:val="center"/>
              <w:rPr>
                <w:rFonts w:ascii="Arial" w:hAnsi="Arial" w:cs="Arial"/>
                <w:sz w:val="20"/>
                <w:szCs w:val="20"/>
              </w:rPr>
            </w:pPr>
          </w:p>
          <w:p w:rsidR="00DB0C3B" w:rsidRPr="00DB0C3B" w:rsidRDefault="00B650D4" w:rsidP="00B650D4">
            <w:pPr>
              <w:jc w:val="center"/>
              <w:rPr>
                <w:rFonts w:ascii="Arial" w:hAnsi="Arial" w:cs="Arial"/>
                <w:sz w:val="20"/>
                <w:szCs w:val="20"/>
              </w:rPr>
            </w:pPr>
            <w:r>
              <w:rPr>
                <w:rFonts w:ascii="Arial" w:hAnsi="Arial" w:cs="Arial"/>
                <w:sz w:val="20"/>
                <w:szCs w:val="20"/>
              </w:rPr>
              <w:t>2</w:t>
            </w:r>
          </w:p>
        </w:tc>
        <w:tc>
          <w:tcPr>
            <w:tcW w:w="1352" w:type="dxa"/>
            <w:tcBorders>
              <w:top w:val="nil"/>
              <w:left w:val="nil"/>
              <w:bottom w:val="nil"/>
              <w:right w:val="nil"/>
            </w:tcBorders>
            <w:shd w:val="clear" w:color="auto" w:fill="auto"/>
          </w:tcPr>
          <w:p w:rsidR="00380D65" w:rsidRDefault="00380D65" w:rsidP="00B650D4">
            <w:pPr>
              <w:ind w:right="-107"/>
              <w:jc w:val="right"/>
              <w:rPr>
                <w:rFonts w:ascii="Arial" w:hAnsi="Arial" w:cs="Arial"/>
                <w:sz w:val="20"/>
                <w:szCs w:val="20"/>
              </w:rPr>
            </w:pPr>
          </w:p>
          <w:p w:rsidR="00DB0C3B" w:rsidRPr="00DB0C3B" w:rsidRDefault="00DB0C3B" w:rsidP="00813CB0">
            <w:pPr>
              <w:ind w:right="-83"/>
              <w:jc w:val="right"/>
              <w:rPr>
                <w:rFonts w:ascii="Arial" w:hAnsi="Arial" w:cs="Arial"/>
                <w:sz w:val="20"/>
                <w:szCs w:val="20"/>
              </w:rPr>
            </w:pPr>
            <w:r w:rsidRPr="00DB0C3B">
              <w:rPr>
                <w:rFonts w:ascii="Arial" w:hAnsi="Arial" w:cs="Arial"/>
                <w:sz w:val="20"/>
                <w:szCs w:val="20"/>
              </w:rPr>
              <w:t>104,895</w:t>
            </w:r>
          </w:p>
        </w:tc>
      </w:tr>
      <w:tr w:rsidR="00380D65" w:rsidRPr="00DB0C3B" w:rsidTr="00C77F2C">
        <w:tc>
          <w:tcPr>
            <w:tcW w:w="383" w:type="dxa"/>
            <w:tcBorders>
              <w:top w:val="nil"/>
              <w:left w:val="nil"/>
              <w:bottom w:val="single" w:sz="4" w:space="0" w:color="auto"/>
              <w:right w:val="nil"/>
            </w:tcBorders>
            <w:shd w:val="clear" w:color="auto" w:fill="auto"/>
          </w:tcPr>
          <w:p w:rsidR="00380D65" w:rsidRPr="00DB0C3B" w:rsidRDefault="00380D65" w:rsidP="00813CB0">
            <w:pPr>
              <w:ind w:left="-108"/>
              <w:jc w:val="center"/>
              <w:rPr>
                <w:rFonts w:ascii="Arial" w:hAnsi="Arial" w:cs="Arial"/>
                <w:sz w:val="20"/>
                <w:szCs w:val="20"/>
              </w:rPr>
            </w:pPr>
            <w:r>
              <w:rPr>
                <w:rFonts w:ascii="Arial" w:hAnsi="Arial" w:cs="Arial"/>
                <w:sz w:val="20"/>
                <w:szCs w:val="20"/>
              </w:rPr>
              <w:t>e.</w:t>
            </w:r>
          </w:p>
        </w:tc>
        <w:tc>
          <w:tcPr>
            <w:tcW w:w="6210" w:type="dxa"/>
            <w:tcBorders>
              <w:top w:val="nil"/>
              <w:left w:val="nil"/>
              <w:bottom w:val="single" w:sz="4" w:space="0" w:color="auto"/>
              <w:right w:val="nil"/>
            </w:tcBorders>
            <w:shd w:val="clear" w:color="auto" w:fill="auto"/>
          </w:tcPr>
          <w:p w:rsidR="00380D65" w:rsidRPr="00DB0C3B" w:rsidRDefault="00380D65" w:rsidP="002B6312">
            <w:pPr>
              <w:jc w:val="both"/>
              <w:rPr>
                <w:rFonts w:ascii="Arial" w:hAnsi="Arial" w:cs="Arial"/>
                <w:sz w:val="20"/>
                <w:szCs w:val="20"/>
              </w:rPr>
            </w:pPr>
            <w:r>
              <w:rPr>
                <w:rFonts w:ascii="Arial" w:hAnsi="Arial" w:cs="Arial"/>
                <w:sz w:val="20"/>
                <w:szCs w:val="20"/>
              </w:rPr>
              <w:t>Disallowances with partial settlement</w:t>
            </w:r>
          </w:p>
        </w:tc>
        <w:tc>
          <w:tcPr>
            <w:tcW w:w="630" w:type="dxa"/>
            <w:gridSpan w:val="2"/>
            <w:tcBorders>
              <w:top w:val="nil"/>
              <w:left w:val="nil"/>
              <w:bottom w:val="single" w:sz="4" w:space="0" w:color="auto"/>
              <w:right w:val="nil"/>
            </w:tcBorders>
            <w:shd w:val="clear" w:color="auto" w:fill="auto"/>
          </w:tcPr>
          <w:p w:rsidR="00380D65" w:rsidRDefault="00380D65" w:rsidP="00B650D4">
            <w:pPr>
              <w:jc w:val="center"/>
              <w:rPr>
                <w:rFonts w:ascii="Arial" w:hAnsi="Arial" w:cs="Arial"/>
                <w:sz w:val="20"/>
                <w:szCs w:val="20"/>
              </w:rPr>
            </w:pPr>
            <w:r>
              <w:rPr>
                <w:rFonts w:ascii="Arial" w:hAnsi="Arial" w:cs="Arial"/>
                <w:sz w:val="20"/>
                <w:szCs w:val="20"/>
              </w:rPr>
              <w:t>2</w:t>
            </w:r>
          </w:p>
        </w:tc>
        <w:tc>
          <w:tcPr>
            <w:tcW w:w="1352" w:type="dxa"/>
            <w:tcBorders>
              <w:top w:val="nil"/>
              <w:left w:val="nil"/>
              <w:bottom w:val="single" w:sz="4" w:space="0" w:color="auto"/>
              <w:right w:val="nil"/>
            </w:tcBorders>
            <w:shd w:val="clear" w:color="auto" w:fill="auto"/>
          </w:tcPr>
          <w:p w:rsidR="00380D65" w:rsidRDefault="00380D65" w:rsidP="00813CB0">
            <w:pPr>
              <w:ind w:right="-83"/>
              <w:jc w:val="right"/>
              <w:rPr>
                <w:rFonts w:ascii="Arial" w:hAnsi="Arial" w:cs="Arial"/>
                <w:sz w:val="20"/>
                <w:szCs w:val="20"/>
              </w:rPr>
            </w:pPr>
            <w:r>
              <w:rPr>
                <w:rFonts w:ascii="Arial" w:hAnsi="Arial" w:cs="Arial"/>
                <w:sz w:val="20"/>
                <w:szCs w:val="20"/>
              </w:rPr>
              <w:t>4,100</w:t>
            </w:r>
          </w:p>
        </w:tc>
      </w:tr>
      <w:tr w:rsidR="00DB0C3B" w:rsidRPr="00DB0C3B" w:rsidTr="00C77F2C">
        <w:tc>
          <w:tcPr>
            <w:tcW w:w="6593" w:type="dxa"/>
            <w:gridSpan w:val="2"/>
            <w:tcBorders>
              <w:top w:val="single" w:sz="4" w:space="0" w:color="auto"/>
              <w:left w:val="nil"/>
              <w:bottom w:val="double" w:sz="4" w:space="0" w:color="auto"/>
              <w:right w:val="nil"/>
            </w:tcBorders>
            <w:shd w:val="clear" w:color="auto" w:fill="auto"/>
          </w:tcPr>
          <w:p w:rsidR="00DB0C3B" w:rsidRPr="00DB0C3B" w:rsidRDefault="00DB0C3B" w:rsidP="002B6312">
            <w:pPr>
              <w:jc w:val="both"/>
              <w:rPr>
                <w:rFonts w:ascii="Arial" w:hAnsi="Arial" w:cs="Arial"/>
                <w:sz w:val="20"/>
                <w:szCs w:val="20"/>
              </w:rPr>
            </w:pPr>
          </w:p>
        </w:tc>
        <w:tc>
          <w:tcPr>
            <w:tcW w:w="540" w:type="dxa"/>
            <w:tcBorders>
              <w:top w:val="single" w:sz="4" w:space="0" w:color="auto"/>
              <w:left w:val="nil"/>
              <w:bottom w:val="double" w:sz="4" w:space="0" w:color="auto"/>
              <w:right w:val="nil"/>
            </w:tcBorders>
            <w:shd w:val="clear" w:color="auto" w:fill="auto"/>
          </w:tcPr>
          <w:p w:rsidR="00DB0C3B" w:rsidRPr="00DB0C3B" w:rsidRDefault="00DB0C3B" w:rsidP="002B6312">
            <w:pPr>
              <w:jc w:val="center"/>
              <w:rPr>
                <w:rFonts w:ascii="Arial" w:hAnsi="Arial" w:cs="Arial"/>
                <w:sz w:val="20"/>
                <w:szCs w:val="20"/>
              </w:rPr>
            </w:pPr>
          </w:p>
        </w:tc>
        <w:tc>
          <w:tcPr>
            <w:tcW w:w="1442" w:type="dxa"/>
            <w:gridSpan w:val="2"/>
            <w:tcBorders>
              <w:top w:val="single" w:sz="4" w:space="0" w:color="auto"/>
              <w:left w:val="nil"/>
              <w:bottom w:val="double" w:sz="4" w:space="0" w:color="auto"/>
              <w:right w:val="nil"/>
            </w:tcBorders>
            <w:shd w:val="clear" w:color="auto" w:fill="auto"/>
          </w:tcPr>
          <w:p w:rsidR="00DB0C3B" w:rsidRPr="00DB0C3B" w:rsidRDefault="00B95243" w:rsidP="00813CB0">
            <w:pPr>
              <w:ind w:right="-83"/>
              <w:jc w:val="right"/>
              <w:rPr>
                <w:rFonts w:ascii="Arial" w:hAnsi="Arial" w:cs="Arial"/>
                <w:sz w:val="20"/>
                <w:szCs w:val="20"/>
              </w:rPr>
            </w:pPr>
            <w:r>
              <w:rPr>
                <w:rFonts w:ascii="Arial" w:hAnsi="Arial" w:cs="Arial"/>
                <w:sz w:val="20"/>
                <w:szCs w:val="20"/>
              </w:rPr>
              <w:t>P</w:t>
            </w:r>
            <w:r w:rsidR="00813CB0">
              <w:rPr>
                <w:rFonts w:ascii="Arial" w:hAnsi="Arial" w:cs="Arial"/>
                <w:sz w:val="20"/>
                <w:szCs w:val="20"/>
              </w:rPr>
              <w:t xml:space="preserve"> </w:t>
            </w:r>
            <w:r w:rsidR="00380D65">
              <w:rPr>
                <w:rFonts w:ascii="Arial" w:hAnsi="Arial" w:cs="Arial"/>
                <w:sz w:val="20"/>
                <w:szCs w:val="20"/>
              </w:rPr>
              <w:t>20,488,437</w:t>
            </w:r>
          </w:p>
        </w:tc>
      </w:tr>
      <w:tr w:rsidR="00DB0C3B" w:rsidRPr="00DB0C3B" w:rsidTr="00C77F2C">
        <w:tc>
          <w:tcPr>
            <w:tcW w:w="6593" w:type="dxa"/>
            <w:gridSpan w:val="2"/>
            <w:tcBorders>
              <w:top w:val="double" w:sz="4" w:space="0" w:color="auto"/>
              <w:left w:val="nil"/>
              <w:bottom w:val="nil"/>
              <w:right w:val="nil"/>
            </w:tcBorders>
            <w:shd w:val="clear" w:color="auto" w:fill="auto"/>
          </w:tcPr>
          <w:p w:rsidR="00DB0C3B" w:rsidRPr="00DB0C3B" w:rsidRDefault="00DB0C3B" w:rsidP="00813CB0">
            <w:pPr>
              <w:ind w:hanging="108"/>
              <w:jc w:val="both"/>
              <w:rPr>
                <w:rFonts w:ascii="Arial" w:hAnsi="Arial" w:cs="Arial"/>
                <w:sz w:val="20"/>
                <w:szCs w:val="20"/>
              </w:rPr>
            </w:pPr>
            <w:r w:rsidRPr="00DB0C3B">
              <w:rPr>
                <w:rFonts w:ascii="Arial" w:hAnsi="Arial" w:cs="Arial"/>
                <w:sz w:val="20"/>
                <w:szCs w:val="20"/>
              </w:rPr>
              <w:t>Suspensions</w:t>
            </w:r>
          </w:p>
        </w:tc>
        <w:tc>
          <w:tcPr>
            <w:tcW w:w="540" w:type="dxa"/>
            <w:tcBorders>
              <w:top w:val="double" w:sz="4" w:space="0" w:color="auto"/>
              <w:left w:val="nil"/>
              <w:bottom w:val="nil"/>
              <w:right w:val="nil"/>
            </w:tcBorders>
            <w:shd w:val="clear" w:color="auto" w:fill="auto"/>
          </w:tcPr>
          <w:p w:rsidR="00DB0C3B" w:rsidRPr="00DB0C3B" w:rsidRDefault="00DB0C3B" w:rsidP="002B6312">
            <w:pPr>
              <w:jc w:val="center"/>
              <w:rPr>
                <w:rFonts w:ascii="Arial" w:hAnsi="Arial" w:cs="Arial"/>
                <w:sz w:val="20"/>
                <w:szCs w:val="20"/>
              </w:rPr>
            </w:pPr>
          </w:p>
        </w:tc>
        <w:tc>
          <w:tcPr>
            <w:tcW w:w="1442" w:type="dxa"/>
            <w:gridSpan w:val="2"/>
            <w:tcBorders>
              <w:top w:val="double" w:sz="4" w:space="0" w:color="auto"/>
              <w:left w:val="nil"/>
              <w:bottom w:val="nil"/>
              <w:right w:val="nil"/>
            </w:tcBorders>
            <w:shd w:val="clear" w:color="auto" w:fill="auto"/>
          </w:tcPr>
          <w:p w:rsidR="00DB0C3B" w:rsidRPr="00DB0C3B" w:rsidRDefault="00DB0C3B" w:rsidP="002B6312">
            <w:pPr>
              <w:tabs>
                <w:tab w:val="left" w:pos="1117"/>
              </w:tabs>
              <w:jc w:val="right"/>
              <w:rPr>
                <w:rFonts w:ascii="Arial" w:hAnsi="Arial" w:cs="Arial"/>
                <w:sz w:val="20"/>
                <w:szCs w:val="20"/>
              </w:rPr>
            </w:pPr>
          </w:p>
        </w:tc>
      </w:tr>
      <w:tr w:rsidR="00DB0C3B" w:rsidRPr="00DB0C3B" w:rsidTr="00C77F2C">
        <w:tc>
          <w:tcPr>
            <w:tcW w:w="383" w:type="dxa"/>
            <w:tcBorders>
              <w:top w:val="nil"/>
              <w:left w:val="nil"/>
              <w:bottom w:val="double" w:sz="4" w:space="0" w:color="auto"/>
              <w:right w:val="nil"/>
            </w:tcBorders>
            <w:shd w:val="clear" w:color="auto" w:fill="auto"/>
          </w:tcPr>
          <w:p w:rsidR="00DB0C3B" w:rsidRPr="00DB0C3B" w:rsidRDefault="007123F3" w:rsidP="00C77F2C">
            <w:pPr>
              <w:ind w:hanging="18"/>
              <w:rPr>
                <w:rFonts w:ascii="Arial" w:hAnsi="Arial" w:cs="Arial"/>
                <w:sz w:val="20"/>
                <w:szCs w:val="20"/>
              </w:rPr>
            </w:pPr>
            <w:r>
              <w:rPr>
                <w:rFonts w:ascii="Arial" w:hAnsi="Arial" w:cs="Arial"/>
                <w:sz w:val="20"/>
                <w:szCs w:val="20"/>
              </w:rPr>
              <w:t>a</w:t>
            </w:r>
            <w:r w:rsidR="00DB0C3B" w:rsidRPr="00DB0C3B">
              <w:rPr>
                <w:rFonts w:ascii="Arial" w:hAnsi="Arial" w:cs="Arial"/>
                <w:sz w:val="20"/>
                <w:szCs w:val="20"/>
              </w:rPr>
              <w:t>.</w:t>
            </w:r>
          </w:p>
        </w:tc>
        <w:tc>
          <w:tcPr>
            <w:tcW w:w="6210" w:type="dxa"/>
            <w:tcBorders>
              <w:top w:val="nil"/>
              <w:left w:val="nil"/>
              <w:bottom w:val="double" w:sz="4" w:space="0" w:color="auto"/>
              <w:right w:val="nil"/>
            </w:tcBorders>
            <w:shd w:val="clear" w:color="auto" w:fill="auto"/>
          </w:tcPr>
          <w:p w:rsidR="00DB0C3B" w:rsidRPr="00DB0C3B" w:rsidRDefault="00DB0C3B" w:rsidP="00C77F2C">
            <w:pPr>
              <w:jc w:val="both"/>
              <w:rPr>
                <w:rFonts w:ascii="Arial" w:hAnsi="Arial" w:cs="Arial"/>
                <w:sz w:val="20"/>
                <w:szCs w:val="20"/>
              </w:rPr>
            </w:pPr>
            <w:r w:rsidRPr="00DB0C3B">
              <w:rPr>
                <w:rFonts w:ascii="Arial" w:hAnsi="Arial" w:cs="Arial"/>
                <w:sz w:val="20"/>
                <w:szCs w:val="20"/>
              </w:rPr>
              <w:t xml:space="preserve">Suspensions at the Central </w:t>
            </w:r>
            <w:r w:rsidR="00C77F2C">
              <w:rPr>
                <w:rFonts w:ascii="Arial" w:hAnsi="Arial" w:cs="Arial"/>
                <w:sz w:val="20"/>
                <w:szCs w:val="20"/>
              </w:rPr>
              <w:t xml:space="preserve"> and Branch </w:t>
            </w:r>
            <w:r w:rsidRPr="00DB0C3B">
              <w:rPr>
                <w:rFonts w:ascii="Arial" w:hAnsi="Arial" w:cs="Arial"/>
                <w:sz w:val="20"/>
                <w:szCs w:val="20"/>
              </w:rPr>
              <w:t>Office</w:t>
            </w:r>
            <w:r w:rsidR="00C77F2C">
              <w:rPr>
                <w:rFonts w:ascii="Arial" w:hAnsi="Arial" w:cs="Arial"/>
                <w:sz w:val="20"/>
                <w:szCs w:val="20"/>
              </w:rPr>
              <w:t>s</w:t>
            </w:r>
          </w:p>
        </w:tc>
        <w:tc>
          <w:tcPr>
            <w:tcW w:w="540" w:type="dxa"/>
            <w:tcBorders>
              <w:top w:val="nil"/>
              <w:left w:val="nil"/>
              <w:bottom w:val="double" w:sz="4" w:space="0" w:color="auto"/>
              <w:right w:val="nil"/>
            </w:tcBorders>
            <w:shd w:val="clear" w:color="auto" w:fill="auto"/>
          </w:tcPr>
          <w:p w:rsidR="00DB0C3B" w:rsidRPr="00DB0C3B" w:rsidRDefault="00C77F2C" w:rsidP="002B6312">
            <w:pPr>
              <w:jc w:val="center"/>
              <w:rPr>
                <w:rFonts w:ascii="Arial" w:hAnsi="Arial" w:cs="Arial"/>
                <w:sz w:val="20"/>
                <w:szCs w:val="20"/>
              </w:rPr>
            </w:pPr>
            <w:r>
              <w:rPr>
                <w:rFonts w:ascii="Arial" w:hAnsi="Arial" w:cs="Arial"/>
                <w:sz w:val="20"/>
                <w:szCs w:val="20"/>
              </w:rPr>
              <w:t>6</w:t>
            </w:r>
          </w:p>
        </w:tc>
        <w:tc>
          <w:tcPr>
            <w:tcW w:w="1442" w:type="dxa"/>
            <w:gridSpan w:val="2"/>
            <w:tcBorders>
              <w:top w:val="nil"/>
              <w:left w:val="nil"/>
              <w:bottom w:val="double" w:sz="4" w:space="0" w:color="auto"/>
              <w:right w:val="nil"/>
            </w:tcBorders>
            <w:shd w:val="clear" w:color="auto" w:fill="auto"/>
            <w:vAlign w:val="center"/>
          </w:tcPr>
          <w:p w:rsidR="00DB0C3B" w:rsidRPr="00DB0C3B" w:rsidRDefault="00DB0C3B" w:rsidP="00813CB0">
            <w:pPr>
              <w:ind w:right="-107"/>
              <w:jc w:val="right"/>
              <w:rPr>
                <w:rFonts w:ascii="Arial" w:hAnsi="Arial" w:cs="Arial"/>
                <w:sz w:val="20"/>
                <w:szCs w:val="20"/>
              </w:rPr>
            </w:pPr>
            <w:r>
              <w:rPr>
                <w:rFonts w:ascii="Arial" w:hAnsi="Arial" w:cs="Arial"/>
                <w:sz w:val="20"/>
                <w:szCs w:val="20"/>
              </w:rPr>
              <w:t>P</w:t>
            </w:r>
            <w:r w:rsidR="00813CB0">
              <w:rPr>
                <w:rFonts w:ascii="Arial" w:hAnsi="Arial" w:cs="Arial"/>
                <w:sz w:val="20"/>
                <w:szCs w:val="20"/>
              </w:rPr>
              <w:t xml:space="preserve"> </w:t>
            </w:r>
            <w:r w:rsidR="00380D65">
              <w:rPr>
                <w:rFonts w:ascii="Arial" w:hAnsi="Arial" w:cs="Arial"/>
                <w:sz w:val="20"/>
                <w:szCs w:val="20"/>
              </w:rPr>
              <w:t>16,737,3</w:t>
            </w:r>
            <w:r w:rsidRPr="00DB0C3B">
              <w:rPr>
                <w:rFonts w:ascii="Arial" w:hAnsi="Arial" w:cs="Arial"/>
                <w:sz w:val="20"/>
                <w:szCs w:val="20"/>
              </w:rPr>
              <w:t>11</w:t>
            </w:r>
          </w:p>
        </w:tc>
      </w:tr>
    </w:tbl>
    <w:p w:rsidR="001D0AAB" w:rsidRDefault="001D0AAB"/>
    <w:p w:rsidR="00813CB0" w:rsidRDefault="00C77F2C">
      <w:pPr>
        <w:rPr>
          <w:rFonts w:ascii="Arial" w:hAnsi="Arial" w:cs="Arial"/>
          <w:sz w:val="22"/>
          <w:szCs w:val="22"/>
        </w:rPr>
      </w:pPr>
      <w:r>
        <w:rPr>
          <w:rFonts w:ascii="Arial" w:hAnsi="Arial" w:cs="Arial"/>
          <w:sz w:val="22"/>
          <w:szCs w:val="22"/>
        </w:rPr>
        <w:t>There were no unsettled audit charges at year-end.</w:t>
      </w:r>
    </w:p>
    <w:p w:rsidR="00C77F2C" w:rsidRPr="00C77F2C" w:rsidRDefault="00C77F2C">
      <w:pPr>
        <w:rPr>
          <w:rFonts w:ascii="Arial" w:hAnsi="Arial" w:cs="Arial"/>
          <w:sz w:val="22"/>
          <w:szCs w:val="22"/>
        </w:rPr>
      </w:pPr>
    </w:p>
    <w:p w:rsidR="00C77F2C" w:rsidRDefault="00C77F2C"/>
    <w:p w:rsidR="00380D65" w:rsidRPr="00521E9D" w:rsidRDefault="00521E9D">
      <w:pPr>
        <w:rPr>
          <w:rFonts w:ascii="Arial" w:hAnsi="Arial" w:cs="Arial"/>
          <w:b/>
          <w:sz w:val="22"/>
          <w:szCs w:val="22"/>
        </w:rPr>
      </w:pPr>
      <w:r>
        <w:rPr>
          <w:rFonts w:ascii="Arial" w:hAnsi="Arial" w:cs="Arial"/>
          <w:b/>
          <w:sz w:val="22"/>
          <w:szCs w:val="22"/>
        </w:rPr>
        <w:t>STATUS OF IMPLEMENTATION OF PRIOR YEARS’ AUDIT RECOMMENDATIONS</w:t>
      </w:r>
    </w:p>
    <w:p w:rsidR="00521E9D" w:rsidRDefault="00521E9D"/>
    <w:p w:rsidR="00380D65" w:rsidRPr="00521E9D" w:rsidRDefault="00380D65" w:rsidP="00380D65">
      <w:pPr>
        <w:jc w:val="both"/>
        <w:rPr>
          <w:rFonts w:ascii="Arial" w:hAnsi="Arial" w:cs="Arial"/>
          <w:sz w:val="22"/>
          <w:szCs w:val="22"/>
        </w:rPr>
      </w:pPr>
      <w:r w:rsidRPr="00521E9D">
        <w:rPr>
          <w:rFonts w:ascii="Arial" w:hAnsi="Arial" w:cs="Arial"/>
          <w:sz w:val="22"/>
          <w:szCs w:val="22"/>
        </w:rPr>
        <w:t>Out of the 32 audit recommendations embodied in the previous years’ Annual Audit Reports, seven were implemented, 10 were partially implemen</w:t>
      </w:r>
      <w:r w:rsidR="00813CB0">
        <w:rPr>
          <w:rFonts w:ascii="Arial" w:hAnsi="Arial" w:cs="Arial"/>
          <w:sz w:val="22"/>
          <w:szCs w:val="22"/>
        </w:rPr>
        <w:t xml:space="preserve">ted and 15 were not implemented. </w:t>
      </w:r>
      <w:r w:rsidR="007123F3">
        <w:rPr>
          <w:rFonts w:ascii="Arial" w:hAnsi="Arial" w:cs="Arial"/>
          <w:sz w:val="22"/>
          <w:szCs w:val="22"/>
        </w:rPr>
        <w:t xml:space="preserve"> Details are presented in Part III of this Report.</w:t>
      </w:r>
    </w:p>
    <w:p w:rsidR="00380D65" w:rsidRPr="00DB0C3B" w:rsidRDefault="00380D65"/>
    <w:sectPr w:rsidR="00380D65" w:rsidRPr="00DB0C3B" w:rsidSect="00680F4D">
      <w:footerReference w:type="default" r:id="rId8"/>
      <w:pgSz w:w="12240" w:h="15840" w:code="1"/>
      <w:pgMar w:top="1440" w:right="1440" w:bottom="1440" w:left="2160" w:header="720" w:footer="720" w:gutter="0"/>
      <w:pgNumType w:fmt="lowerRoman"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BBF" w:rsidRDefault="00124BBF" w:rsidP="007A64C8">
      <w:r>
        <w:separator/>
      </w:r>
    </w:p>
  </w:endnote>
  <w:endnote w:type="continuationSeparator" w:id="0">
    <w:p w:rsidR="00124BBF" w:rsidRDefault="00124BBF" w:rsidP="007A6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69797"/>
      <w:docPartObj>
        <w:docPartGallery w:val="Page Numbers (Bottom of Page)"/>
        <w:docPartUnique/>
      </w:docPartObj>
    </w:sdtPr>
    <w:sdtEndPr>
      <w:rPr>
        <w:rFonts w:ascii="Arial" w:hAnsi="Arial" w:cs="Arial"/>
        <w:sz w:val="22"/>
        <w:szCs w:val="22"/>
      </w:rPr>
    </w:sdtEndPr>
    <w:sdtContent>
      <w:p w:rsidR="002B6312" w:rsidRDefault="00B12B27">
        <w:pPr>
          <w:pStyle w:val="Footer"/>
          <w:jc w:val="right"/>
        </w:pPr>
        <w:r w:rsidRPr="00206EB6">
          <w:rPr>
            <w:rFonts w:ascii="Arial" w:hAnsi="Arial" w:cs="Arial"/>
            <w:sz w:val="22"/>
            <w:szCs w:val="22"/>
          </w:rPr>
          <w:fldChar w:fldCharType="begin"/>
        </w:r>
        <w:r w:rsidR="00A917F7" w:rsidRPr="00206EB6">
          <w:rPr>
            <w:rFonts w:ascii="Arial" w:hAnsi="Arial" w:cs="Arial"/>
            <w:sz w:val="22"/>
            <w:szCs w:val="22"/>
          </w:rPr>
          <w:instrText xml:space="preserve"> PAGE   \* MERGEFORMAT </w:instrText>
        </w:r>
        <w:r w:rsidRPr="00206EB6">
          <w:rPr>
            <w:rFonts w:ascii="Arial" w:hAnsi="Arial" w:cs="Arial"/>
            <w:sz w:val="22"/>
            <w:szCs w:val="22"/>
          </w:rPr>
          <w:fldChar w:fldCharType="separate"/>
        </w:r>
        <w:r w:rsidR="0030492A">
          <w:rPr>
            <w:rFonts w:ascii="Arial" w:hAnsi="Arial" w:cs="Arial"/>
            <w:noProof/>
            <w:sz w:val="22"/>
            <w:szCs w:val="22"/>
          </w:rPr>
          <w:t>ii</w:t>
        </w:r>
        <w:r w:rsidRPr="00206EB6">
          <w:rPr>
            <w:rFonts w:ascii="Arial" w:hAnsi="Arial" w:cs="Arial"/>
            <w:sz w:val="22"/>
            <w:szCs w:val="22"/>
          </w:rPr>
          <w:fldChar w:fldCharType="end"/>
        </w:r>
      </w:p>
    </w:sdtContent>
  </w:sdt>
  <w:p w:rsidR="002B6312" w:rsidRDefault="002B63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BBF" w:rsidRDefault="00124BBF" w:rsidP="007A64C8">
      <w:r>
        <w:separator/>
      </w:r>
    </w:p>
  </w:footnote>
  <w:footnote w:type="continuationSeparator" w:id="0">
    <w:p w:rsidR="00124BBF" w:rsidRDefault="00124BBF" w:rsidP="007A64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A4D86"/>
    <w:multiLevelType w:val="hybridMultilevel"/>
    <w:tmpl w:val="8AD6D1EA"/>
    <w:lvl w:ilvl="0" w:tplc="37785B42">
      <w:start w:val="9"/>
      <w:numFmt w:val="decimal"/>
      <w:lvlText w:val="%1.4"/>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9A34D6"/>
    <w:multiLevelType w:val="hybridMultilevel"/>
    <w:tmpl w:val="E382939C"/>
    <w:lvl w:ilvl="0" w:tplc="2C9A6B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4192B24"/>
    <w:multiLevelType w:val="multilevel"/>
    <w:tmpl w:val="A0625ADC"/>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6987CAD"/>
    <w:multiLevelType w:val="multilevel"/>
    <w:tmpl w:val="35C2A642"/>
    <w:lvl w:ilvl="0">
      <w:start w:val="6"/>
      <w:numFmt w:val="decimal"/>
      <w:lvlText w:val="%1"/>
      <w:lvlJc w:val="left"/>
      <w:pPr>
        <w:ind w:left="360" w:hanging="360"/>
      </w:pPr>
      <w:rPr>
        <w:rFonts w:hint="default"/>
      </w:rPr>
    </w:lvl>
    <w:lvl w:ilvl="1">
      <w:start w:val="6"/>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16D64493"/>
    <w:multiLevelType w:val="hybridMultilevel"/>
    <w:tmpl w:val="E13443A6"/>
    <w:lvl w:ilvl="0" w:tplc="6692567E">
      <w:start w:val="6"/>
      <w:numFmt w:val="decimal"/>
      <w:lvlText w:val="%1.3"/>
      <w:lvlJc w:val="left"/>
      <w:pPr>
        <w:ind w:left="1080" w:hanging="360"/>
      </w:pPr>
      <w:rPr>
        <w:rFonts w:cs="Times New Roman" w:hint="default"/>
        <w:b w:val="0"/>
      </w:rPr>
    </w:lvl>
    <w:lvl w:ilvl="1" w:tplc="AEC8A7EA">
      <w:start w:val="1"/>
      <w:numFmt w:val="lowerLetter"/>
      <w:lvlText w:val="%2."/>
      <w:lvlJc w:val="left"/>
      <w:pPr>
        <w:ind w:left="1440" w:hanging="360"/>
      </w:pPr>
    </w:lvl>
    <w:lvl w:ilvl="2" w:tplc="2D988F64" w:tentative="1">
      <w:start w:val="1"/>
      <w:numFmt w:val="lowerRoman"/>
      <w:lvlText w:val="%3."/>
      <w:lvlJc w:val="right"/>
      <w:pPr>
        <w:ind w:left="2160" w:hanging="180"/>
      </w:pPr>
    </w:lvl>
    <w:lvl w:ilvl="3" w:tplc="66B0D3E8" w:tentative="1">
      <w:start w:val="1"/>
      <w:numFmt w:val="decimal"/>
      <w:lvlText w:val="%4."/>
      <w:lvlJc w:val="left"/>
      <w:pPr>
        <w:ind w:left="2880" w:hanging="360"/>
      </w:pPr>
    </w:lvl>
    <w:lvl w:ilvl="4" w:tplc="04E4144C" w:tentative="1">
      <w:start w:val="1"/>
      <w:numFmt w:val="lowerLetter"/>
      <w:lvlText w:val="%5."/>
      <w:lvlJc w:val="left"/>
      <w:pPr>
        <w:ind w:left="3600" w:hanging="360"/>
      </w:pPr>
    </w:lvl>
    <w:lvl w:ilvl="5" w:tplc="2570AF2C" w:tentative="1">
      <w:start w:val="1"/>
      <w:numFmt w:val="lowerRoman"/>
      <w:lvlText w:val="%6."/>
      <w:lvlJc w:val="right"/>
      <w:pPr>
        <w:ind w:left="4320" w:hanging="180"/>
      </w:pPr>
    </w:lvl>
    <w:lvl w:ilvl="6" w:tplc="CD8AD532" w:tentative="1">
      <w:start w:val="1"/>
      <w:numFmt w:val="decimal"/>
      <w:lvlText w:val="%7."/>
      <w:lvlJc w:val="left"/>
      <w:pPr>
        <w:ind w:left="5040" w:hanging="360"/>
      </w:pPr>
    </w:lvl>
    <w:lvl w:ilvl="7" w:tplc="5EE840D8" w:tentative="1">
      <w:start w:val="1"/>
      <w:numFmt w:val="lowerLetter"/>
      <w:lvlText w:val="%8."/>
      <w:lvlJc w:val="left"/>
      <w:pPr>
        <w:ind w:left="5760" w:hanging="360"/>
      </w:pPr>
    </w:lvl>
    <w:lvl w:ilvl="8" w:tplc="19AC3206" w:tentative="1">
      <w:start w:val="1"/>
      <w:numFmt w:val="lowerRoman"/>
      <w:lvlText w:val="%9."/>
      <w:lvlJc w:val="right"/>
      <w:pPr>
        <w:ind w:left="6480" w:hanging="180"/>
      </w:pPr>
    </w:lvl>
  </w:abstractNum>
  <w:abstractNum w:abstractNumId="5">
    <w:nsid w:val="27C0244D"/>
    <w:multiLevelType w:val="hybridMultilevel"/>
    <w:tmpl w:val="EF400E28"/>
    <w:lvl w:ilvl="0" w:tplc="811A3D76">
      <w:start w:val="1"/>
      <w:numFmt w:val="decimal"/>
      <w:lvlText w:val="%1."/>
      <w:lvlJc w:val="left"/>
      <w:pPr>
        <w:ind w:left="450" w:hanging="360"/>
      </w:pPr>
      <w:rPr>
        <w:b w:val="0"/>
      </w:rPr>
    </w:lvl>
    <w:lvl w:ilvl="1" w:tplc="34090019">
      <w:start w:val="1"/>
      <w:numFmt w:val="lowerLetter"/>
      <w:lvlText w:val="%2."/>
      <w:lvlJc w:val="left"/>
      <w:pPr>
        <w:ind w:left="540" w:hanging="360"/>
      </w:pPr>
    </w:lvl>
    <w:lvl w:ilvl="2" w:tplc="3409001B">
      <w:start w:val="1"/>
      <w:numFmt w:val="lowerRoman"/>
      <w:lvlText w:val="%3."/>
      <w:lvlJc w:val="right"/>
      <w:pPr>
        <w:ind w:left="1710" w:hanging="180"/>
      </w:pPr>
    </w:lvl>
    <w:lvl w:ilvl="3" w:tplc="3409000F">
      <w:start w:val="1"/>
      <w:numFmt w:val="decimal"/>
      <w:lvlText w:val="%4."/>
      <w:lvlJc w:val="left"/>
      <w:pPr>
        <w:ind w:left="2430" w:hanging="360"/>
      </w:pPr>
    </w:lvl>
    <w:lvl w:ilvl="4" w:tplc="34090019">
      <w:start w:val="1"/>
      <w:numFmt w:val="lowerLetter"/>
      <w:lvlText w:val="%5."/>
      <w:lvlJc w:val="left"/>
      <w:pPr>
        <w:ind w:left="3150" w:hanging="360"/>
      </w:pPr>
    </w:lvl>
    <w:lvl w:ilvl="5" w:tplc="3409001B">
      <w:start w:val="1"/>
      <w:numFmt w:val="lowerRoman"/>
      <w:lvlText w:val="%6."/>
      <w:lvlJc w:val="right"/>
      <w:pPr>
        <w:ind w:left="3870" w:hanging="180"/>
      </w:pPr>
    </w:lvl>
    <w:lvl w:ilvl="6" w:tplc="3409000F">
      <w:start w:val="1"/>
      <w:numFmt w:val="decimal"/>
      <w:lvlText w:val="%7."/>
      <w:lvlJc w:val="left"/>
      <w:pPr>
        <w:ind w:left="4590" w:hanging="360"/>
      </w:pPr>
    </w:lvl>
    <w:lvl w:ilvl="7" w:tplc="34090019">
      <w:start w:val="1"/>
      <w:numFmt w:val="lowerLetter"/>
      <w:lvlText w:val="%8."/>
      <w:lvlJc w:val="left"/>
      <w:pPr>
        <w:ind w:left="5310" w:hanging="360"/>
      </w:pPr>
    </w:lvl>
    <w:lvl w:ilvl="8" w:tplc="3409001B">
      <w:start w:val="1"/>
      <w:numFmt w:val="lowerRoman"/>
      <w:lvlText w:val="%9."/>
      <w:lvlJc w:val="right"/>
      <w:pPr>
        <w:ind w:left="6030" w:hanging="180"/>
      </w:pPr>
    </w:lvl>
  </w:abstractNum>
  <w:abstractNum w:abstractNumId="6">
    <w:nsid w:val="2BA62D7A"/>
    <w:multiLevelType w:val="hybridMultilevel"/>
    <w:tmpl w:val="687820D2"/>
    <w:lvl w:ilvl="0" w:tplc="2102BAD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C217B3"/>
    <w:multiLevelType w:val="hybridMultilevel"/>
    <w:tmpl w:val="634AA3D6"/>
    <w:lvl w:ilvl="0" w:tplc="D49AB85E">
      <w:start w:val="9"/>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FC3F62"/>
    <w:multiLevelType w:val="multilevel"/>
    <w:tmpl w:val="045C8440"/>
    <w:lvl w:ilvl="0">
      <w:start w:val="15"/>
      <w:numFmt w:val="decimal"/>
      <w:lvlText w:val="%1."/>
      <w:lvlJc w:val="left"/>
      <w:pPr>
        <w:ind w:left="720" w:hanging="360"/>
      </w:pPr>
      <w:rPr>
        <w:rFonts w:hint="default"/>
        <w:b w:val="0"/>
      </w:rPr>
    </w:lvl>
    <w:lvl w:ilvl="1">
      <w:start w:val="14"/>
      <w:numFmt w:val="decimal"/>
      <w:lvlText w:val="%2.5"/>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4"/>
      <w:numFmt w:val="decimal"/>
      <w:lvlText w:val="%4.1"/>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4204EA"/>
    <w:multiLevelType w:val="multilevel"/>
    <w:tmpl w:val="C738495E"/>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48C1537F"/>
    <w:multiLevelType w:val="multilevel"/>
    <w:tmpl w:val="0BD653FA"/>
    <w:lvl w:ilvl="0">
      <w:start w:val="1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7"/>
      <w:numFmt w:val="decimal"/>
      <w:lvlText w:val="%4.2"/>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493D5C5A"/>
    <w:multiLevelType w:val="hybridMultilevel"/>
    <w:tmpl w:val="2E9EE692"/>
    <w:lvl w:ilvl="0" w:tplc="9E8AB39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796955"/>
    <w:multiLevelType w:val="multilevel"/>
    <w:tmpl w:val="C6147542"/>
    <w:lvl w:ilvl="0">
      <w:start w:val="10"/>
      <w:numFmt w:val="decimal"/>
      <w:lvlText w:val="%1"/>
      <w:lvlJc w:val="left"/>
      <w:pPr>
        <w:ind w:left="420" w:hanging="420"/>
      </w:pPr>
      <w:rPr>
        <w:rFonts w:hint="default"/>
        <w:b/>
      </w:rPr>
    </w:lvl>
    <w:lvl w:ilvl="1">
      <w:start w:val="5"/>
      <w:numFmt w:val="decimal"/>
      <w:lvlText w:val="%1.%2"/>
      <w:lvlJc w:val="left"/>
      <w:pPr>
        <w:ind w:left="1140" w:hanging="4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3">
    <w:nsid w:val="49992D93"/>
    <w:multiLevelType w:val="multilevel"/>
    <w:tmpl w:val="A0625ADC"/>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C993E78"/>
    <w:multiLevelType w:val="multilevel"/>
    <w:tmpl w:val="A9B647A6"/>
    <w:lvl w:ilvl="0">
      <w:start w:val="9"/>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b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5">
    <w:nsid w:val="510745F4"/>
    <w:multiLevelType w:val="multilevel"/>
    <w:tmpl w:val="56AEE62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85E5480"/>
    <w:multiLevelType w:val="hybridMultilevel"/>
    <w:tmpl w:val="7B701536"/>
    <w:lvl w:ilvl="0" w:tplc="A1DE357C">
      <w:start w:val="9"/>
      <w:numFmt w:val="decimal"/>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836D1C"/>
    <w:multiLevelType w:val="multilevel"/>
    <w:tmpl w:val="B524CC86"/>
    <w:lvl w:ilvl="0">
      <w:start w:val="3"/>
      <w:numFmt w:val="lowerLetter"/>
      <w:lvlText w:val="%1.1"/>
      <w:lvlJc w:val="left"/>
      <w:pPr>
        <w:ind w:left="6640" w:hanging="360"/>
      </w:pPr>
      <w:rPr>
        <w:rFonts w:hint="default"/>
      </w:rPr>
    </w:lvl>
    <w:lvl w:ilvl="1">
      <w:start w:val="3"/>
      <w:numFmt w:val="lowerLetter"/>
      <w:lvlText w:val="%2."/>
      <w:lvlJc w:val="left"/>
      <w:pPr>
        <w:ind w:left="1440" w:hanging="360"/>
      </w:pPr>
      <w:rPr>
        <w:rFonts w:hint="default"/>
        <w:b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4"/>
      <w:numFmt w:val="lowerLetter"/>
      <w:lvlText w:val="%5.6"/>
      <w:lvlJc w:val="left"/>
      <w:pPr>
        <w:ind w:left="3600" w:hanging="360"/>
      </w:pPr>
      <w:rPr>
        <w:rFonts w:hint="default"/>
        <w:b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b w:val="0"/>
      </w:rPr>
    </w:lvl>
    <w:lvl w:ilvl="8">
      <w:start w:val="1"/>
      <w:numFmt w:val="lowerRoman"/>
      <w:lvlText w:val="%9."/>
      <w:lvlJc w:val="right"/>
      <w:pPr>
        <w:ind w:left="6480" w:hanging="180"/>
      </w:pPr>
      <w:rPr>
        <w:rFonts w:hint="default"/>
      </w:rPr>
    </w:lvl>
  </w:abstractNum>
  <w:abstractNum w:abstractNumId="18">
    <w:nsid w:val="5C171B7C"/>
    <w:multiLevelType w:val="hybridMultilevel"/>
    <w:tmpl w:val="213EC2EE"/>
    <w:lvl w:ilvl="0" w:tplc="F3247798">
      <w:start w:val="6"/>
      <w:numFmt w:val="decimal"/>
      <w:lvlText w:val="%1.9"/>
      <w:lvlJc w:val="left"/>
      <w:pPr>
        <w:ind w:left="1080" w:hanging="360"/>
      </w:pPr>
      <w:rPr>
        <w:rFonts w:cs="Times New Roman" w:hint="default"/>
        <w:b w:val="0"/>
      </w:rPr>
    </w:lvl>
    <w:lvl w:ilvl="1" w:tplc="A6D61004">
      <w:start w:val="1"/>
      <w:numFmt w:val="lowerLetter"/>
      <w:lvlText w:val="%2."/>
      <w:lvlJc w:val="left"/>
      <w:pPr>
        <w:ind w:left="990" w:hanging="360"/>
      </w:pPr>
      <w:rPr>
        <w:b w:val="0"/>
      </w:rPr>
    </w:lvl>
    <w:lvl w:ilvl="2" w:tplc="0C242AB4" w:tentative="1">
      <w:start w:val="1"/>
      <w:numFmt w:val="lowerRoman"/>
      <w:lvlText w:val="%3."/>
      <w:lvlJc w:val="right"/>
      <w:pPr>
        <w:ind w:left="2160" w:hanging="180"/>
      </w:pPr>
    </w:lvl>
    <w:lvl w:ilvl="3" w:tplc="9F924E24" w:tentative="1">
      <w:start w:val="1"/>
      <w:numFmt w:val="decimal"/>
      <w:lvlText w:val="%4."/>
      <w:lvlJc w:val="left"/>
      <w:pPr>
        <w:ind w:left="2880" w:hanging="360"/>
      </w:pPr>
    </w:lvl>
    <w:lvl w:ilvl="4" w:tplc="44420AB8" w:tentative="1">
      <w:start w:val="1"/>
      <w:numFmt w:val="lowerLetter"/>
      <w:lvlText w:val="%5."/>
      <w:lvlJc w:val="left"/>
      <w:pPr>
        <w:ind w:left="3600" w:hanging="360"/>
      </w:pPr>
    </w:lvl>
    <w:lvl w:ilvl="5" w:tplc="A5961422" w:tentative="1">
      <w:start w:val="1"/>
      <w:numFmt w:val="lowerRoman"/>
      <w:lvlText w:val="%6."/>
      <w:lvlJc w:val="right"/>
      <w:pPr>
        <w:ind w:left="4320" w:hanging="180"/>
      </w:pPr>
    </w:lvl>
    <w:lvl w:ilvl="6" w:tplc="A2F8B104" w:tentative="1">
      <w:start w:val="1"/>
      <w:numFmt w:val="decimal"/>
      <w:lvlText w:val="%7."/>
      <w:lvlJc w:val="left"/>
      <w:pPr>
        <w:ind w:left="5040" w:hanging="360"/>
      </w:pPr>
    </w:lvl>
    <w:lvl w:ilvl="7" w:tplc="8AB26C20" w:tentative="1">
      <w:start w:val="1"/>
      <w:numFmt w:val="lowerLetter"/>
      <w:lvlText w:val="%8."/>
      <w:lvlJc w:val="left"/>
      <w:pPr>
        <w:ind w:left="5760" w:hanging="360"/>
      </w:pPr>
    </w:lvl>
    <w:lvl w:ilvl="8" w:tplc="9A38EB80" w:tentative="1">
      <w:start w:val="1"/>
      <w:numFmt w:val="lowerRoman"/>
      <w:lvlText w:val="%9."/>
      <w:lvlJc w:val="right"/>
      <w:pPr>
        <w:ind w:left="6480" w:hanging="180"/>
      </w:pPr>
    </w:lvl>
  </w:abstractNum>
  <w:abstractNum w:abstractNumId="19">
    <w:nsid w:val="5CD102BF"/>
    <w:multiLevelType w:val="hybridMultilevel"/>
    <w:tmpl w:val="3E6C10EC"/>
    <w:lvl w:ilvl="0" w:tplc="EF949986">
      <w:start w:val="1"/>
      <w:numFmt w:val="decimal"/>
      <w:lvlText w:val="%1."/>
      <w:lvlJc w:val="left"/>
      <w:pPr>
        <w:ind w:left="1800" w:hanging="360"/>
      </w:pPr>
    </w:lvl>
    <w:lvl w:ilvl="1" w:tplc="34090019">
      <w:start w:val="1"/>
      <w:numFmt w:val="lowerLetter"/>
      <w:lvlText w:val="%2."/>
      <w:lvlJc w:val="left"/>
      <w:pPr>
        <w:ind w:left="297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start w:val="1"/>
      <w:numFmt w:val="lowerLetter"/>
      <w:lvlText w:val="%5."/>
      <w:lvlJc w:val="left"/>
      <w:pPr>
        <w:ind w:left="4680" w:hanging="360"/>
      </w:pPr>
    </w:lvl>
    <w:lvl w:ilvl="5" w:tplc="3409001B">
      <w:start w:val="1"/>
      <w:numFmt w:val="lowerRoman"/>
      <w:lvlText w:val="%6."/>
      <w:lvlJc w:val="right"/>
      <w:pPr>
        <w:ind w:left="5400" w:hanging="180"/>
      </w:pPr>
    </w:lvl>
    <w:lvl w:ilvl="6" w:tplc="3409000F">
      <w:start w:val="1"/>
      <w:numFmt w:val="decimal"/>
      <w:lvlText w:val="%7."/>
      <w:lvlJc w:val="left"/>
      <w:pPr>
        <w:ind w:left="6120" w:hanging="360"/>
      </w:pPr>
    </w:lvl>
    <w:lvl w:ilvl="7" w:tplc="34090019">
      <w:start w:val="1"/>
      <w:numFmt w:val="lowerLetter"/>
      <w:lvlText w:val="%8."/>
      <w:lvlJc w:val="left"/>
      <w:pPr>
        <w:ind w:left="6840" w:hanging="360"/>
      </w:pPr>
    </w:lvl>
    <w:lvl w:ilvl="8" w:tplc="3409001B">
      <w:start w:val="1"/>
      <w:numFmt w:val="lowerRoman"/>
      <w:lvlText w:val="%9."/>
      <w:lvlJc w:val="right"/>
      <w:pPr>
        <w:ind w:left="7560" w:hanging="180"/>
      </w:pPr>
    </w:lvl>
  </w:abstractNum>
  <w:abstractNum w:abstractNumId="20">
    <w:nsid w:val="5D70581D"/>
    <w:multiLevelType w:val="multilevel"/>
    <w:tmpl w:val="30626B9E"/>
    <w:lvl w:ilvl="0">
      <w:start w:val="17"/>
      <w:numFmt w:val="decimal"/>
      <w:lvlText w:val="%1."/>
      <w:lvlJc w:val="left"/>
      <w:pPr>
        <w:ind w:left="720" w:hanging="360"/>
      </w:pPr>
      <w:rPr>
        <w:rFonts w:hint="default"/>
        <w:b w:val="0"/>
      </w:rPr>
    </w:lvl>
    <w:lvl w:ilvl="1">
      <w:start w:val="6"/>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2"/>
      <w:numFmt w:val="decimal"/>
      <w:lvlText w:val="%4.1"/>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611E0DE5"/>
    <w:multiLevelType w:val="hybridMultilevel"/>
    <w:tmpl w:val="5FFA4EEE"/>
    <w:lvl w:ilvl="0" w:tplc="3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292D15"/>
    <w:multiLevelType w:val="hybridMultilevel"/>
    <w:tmpl w:val="3550A6D4"/>
    <w:lvl w:ilvl="0" w:tplc="04090019">
      <w:start w:val="1"/>
      <w:numFmt w:val="lowerLetter"/>
      <w:lvlText w:val="%1."/>
      <w:lvlJc w:val="left"/>
      <w:pPr>
        <w:ind w:left="630" w:hanging="360"/>
      </w:pPr>
    </w:lvl>
    <w:lvl w:ilvl="1" w:tplc="B8867C5C">
      <w:start w:val="1"/>
      <w:numFmt w:val="lowerLetter"/>
      <w:lvlText w:val="%2."/>
      <w:lvlJc w:val="left"/>
      <w:pPr>
        <w:ind w:left="1350" w:hanging="360"/>
      </w:pPr>
      <w:rPr>
        <w:rFonts w:hint="default"/>
      </w:r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3">
    <w:nsid w:val="6AD1122B"/>
    <w:multiLevelType w:val="hybridMultilevel"/>
    <w:tmpl w:val="0C86C606"/>
    <w:lvl w:ilvl="0" w:tplc="A7CCCF8E">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13660D"/>
    <w:multiLevelType w:val="hybridMultilevel"/>
    <w:tmpl w:val="1E585BEA"/>
    <w:lvl w:ilvl="0" w:tplc="82C42F5A">
      <w:start w:val="2"/>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B927ED"/>
    <w:multiLevelType w:val="hybridMultilevel"/>
    <w:tmpl w:val="6C347274"/>
    <w:lvl w:ilvl="0" w:tplc="5AF4A92A">
      <w:start w:val="3"/>
      <w:numFmt w:val="decimal"/>
      <w:lvlText w:val="%1."/>
      <w:lvlJc w:val="left"/>
      <w:pPr>
        <w:ind w:left="108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850037"/>
    <w:multiLevelType w:val="hybridMultilevel"/>
    <w:tmpl w:val="FE14F1F6"/>
    <w:lvl w:ilvl="0" w:tplc="3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8F3A3B"/>
    <w:multiLevelType w:val="hybridMultilevel"/>
    <w:tmpl w:val="15363B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26"/>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7"/>
  </w:num>
  <w:num w:numId="7">
    <w:abstractNumId w:val="21"/>
  </w:num>
  <w:num w:numId="8">
    <w:abstractNumId w:val="6"/>
  </w:num>
  <w:num w:numId="9">
    <w:abstractNumId w:val="10"/>
  </w:num>
  <w:num w:numId="10">
    <w:abstractNumId w:val="8"/>
  </w:num>
  <w:num w:numId="11">
    <w:abstractNumId w:val="20"/>
  </w:num>
  <w:num w:numId="12">
    <w:abstractNumId w:val="23"/>
  </w:num>
  <w:num w:numId="13">
    <w:abstractNumId w:val="7"/>
  </w:num>
  <w:num w:numId="14">
    <w:abstractNumId w:val="16"/>
  </w:num>
  <w:num w:numId="15">
    <w:abstractNumId w:val="0"/>
  </w:num>
  <w:num w:numId="16">
    <w:abstractNumId w:val="9"/>
  </w:num>
  <w:num w:numId="17">
    <w:abstractNumId w:val="2"/>
  </w:num>
  <w:num w:numId="18">
    <w:abstractNumId w:val="24"/>
  </w:num>
  <w:num w:numId="19">
    <w:abstractNumId w:val="1"/>
  </w:num>
  <w:num w:numId="20">
    <w:abstractNumId w:val="25"/>
  </w:num>
  <w:num w:numId="21">
    <w:abstractNumId w:val="3"/>
  </w:num>
  <w:num w:numId="22">
    <w:abstractNumId w:val="13"/>
  </w:num>
  <w:num w:numId="23">
    <w:abstractNumId w:val="15"/>
  </w:num>
  <w:num w:numId="24">
    <w:abstractNumId w:val="18"/>
  </w:num>
  <w:num w:numId="25">
    <w:abstractNumId w:val="14"/>
  </w:num>
  <w:num w:numId="26">
    <w:abstractNumId w:val="4"/>
  </w:num>
  <w:num w:numId="27">
    <w:abstractNumId w:val="12"/>
  </w:num>
  <w:num w:numId="2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cumentProtection w:edit="forms" w:enforcement="1" w:cryptProviderType="rsaFull" w:cryptAlgorithmClass="hash" w:cryptAlgorithmType="typeAny" w:cryptAlgorithmSid="4" w:cryptSpinCount="100000" w:hash="uQ40B0TW6cBQQ3aciEDAOAj6cuM=" w:salt="bMBmI/As+inBZOPtwpDd+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CE3"/>
    <w:rsid w:val="00010BF1"/>
    <w:rsid w:val="00035798"/>
    <w:rsid w:val="0006181F"/>
    <w:rsid w:val="000D1860"/>
    <w:rsid w:val="000E21AD"/>
    <w:rsid w:val="000E32CA"/>
    <w:rsid w:val="00124BBF"/>
    <w:rsid w:val="001353D4"/>
    <w:rsid w:val="001A59A1"/>
    <w:rsid w:val="001D0AAB"/>
    <w:rsid w:val="001E722D"/>
    <w:rsid w:val="00206EB6"/>
    <w:rsid w:val="00213705"/>
    <w:rsid w:val="002179A4"/>
    <w:rsid w:val="002604E6"/>
    <w:rsid w:val="002B54B5"/>
    <w:rsid w:val="002B6312"/>
    <w:rsid w:val="002C23F0"/>
    <w:rsid w:val="002D04D4"/>
    <w:rsid w:val="0030492A"/>
    <w:rsid w:val="00310EDF"/>
    <w:rsid w:val="00367158"/>
    <w:rsid w:val="00374373"/>
    <w:rsid w:val="00380D65"/>
    <w:rsid w:val="00390040"/>
    <w:rsid w:val="004306CF"/>
    <w:rsid w:val="00472C4A"/>
    <w:rsid w:val="00486DCF"/>
    <w:rsid w:val="004A125D"/>
    <w:rsid w:val="004C4C62"/>
    <w:rsid w:val="004D5E03"/>
    <w:rsid w:val="005155A8"/>
    <w:rsid w:val="00521E9D"/>
    <w:rsid w:val="005A5F9F"/>
    <w:rsid w:val="005C1671"/>
    <w:rsid w:val="005C72E7"/>
    <w:rsid w:val="005D4B0F"/>
    <w:rsid w:val="00622149"/>
    <w:rsid w:val="00646D6E"/>
    <w:rsid w:val="00654727"/>
    <w:rsid w:val="00680F4D"/>
    <w:rsid w:val="007123F3"/>
    <w:rsid w:val="007A64C8"/>
    <w:rsid w:val="007B391A"/>
    <w:rsid w:val="007D3A04"/>
    <w:rsid w:val="007F3123"/>
    <w:rsid w:val="007F5811"/>
    <w:rsid w:val="00810F6D"/>
    <w:rsid w:val="00813CB0"/>
    <w:rsid w:val="008B2FFC"/>
    <w:rsid w:val="008C0183"/>
    <w:rsid w:val="008E29FB"/>
    <w:rsid w:val="008E7458"/>
    <w:rsid w:val="009024C0"/>
    <w:rsid w:val="009049A7"/>
    <w:rsid w:val="009A6231"/>
    <w:rsid w:val="009D5613"/>
    <w:rsid w:val="00A04FAA"/>
    <w:rsid w:val="00A1015E"/>
    <w:rsid w:val="00A15FCE"/>
    <w:rsid w:val="00A917F7"/>
    <w:rsid w:val="00AB2854"/>
    <w:rsid w:val="00AE00F3"/>
    <w:rsid w:val="00AF4890"/>
    <w:rsid w:val="00B02C35"/>
    <w:rsid w:val="00B12B27"/>
    <w:rsid w:val="00B23BB2"/>
    <w:rsid w:val="00B650D4"/>
    <w:rsid w:val="00B838F7"/>
    <w:rsid w:val="00B8527B"/>
    <w:rsid w:val="00B95243"/>
    <w:rsid w:val="00BA6623"/>
    <w:rsid w:val="00BC145D"/>
    <w:rsid w:val="00BC7482"/>
    <w:rsid w:val="00BE6FEF"/>
    <w:rsid w:val="00C15CE3"/>
    <w:rsid w:val="00C568BC"/>
    <w:rsid w:val="00C77F2C"/>
    <w:rsid w:val="00C93D87"/>
    <w:rsid w:val="00CB1E8A"/>
    <w:rsid w:val="00CC3B98"/>
    <w:rsid w:val="00D47878"/>
    <w:rsid w:val="00DB0C3B"/>
    <w:rsid w:val="00DB735C"/>
    <w:rsid w:val="00E37365"/>
    <w:rsid w:val="00E51D24"/>
    <w:rsid w:val="00E82C26"/>
    <w:rsid w:val="00EB3C52"/>
    <w:rsid w:val="00EC2DD9"/>
    <w:rsid w:val="00ED1871"/>
    <w:rsid w:val="00ED3246"/>
    <w:rsid w:val="00F02AD5"/>
    <w:rsid w:val="00F10801"/>
    <w:rsid w:val="00F3054A"/>
    <w:rsid w:val="00F61236"/>
    <w:rsid w:val="00F82EBA"/>
    <w:rsid w:val="00F831EF"/>
    <w:rsid w:val="00FA5041"/>
    <w:rsid w:val="00FB16E3"/>
    <w:rsid w:val="00FC1516"/>
    <w:rsid w:val="00FC7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C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D0AAB"/>
    <w:pPr>
      <w:ind w:left="720"/>
    </w:pPr>
  </w:style>
  <w:style w:type="paragraph" w:styleId="NoSpacing">
    <w:name w:val="No Spacing"/>
    <w:uiPriority w:val="1"/>
    <w:qFormat/>
    <w:rsid w:val="000E21AD"/>
    <w:pPr>
      <w:spacing w:after="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semiHidden/>
    <w:unhideWhenUsed/>
    <w:rsid w:val="007A64C8"/>
    <w:pPr>
      <w:tabs>
        <w:tab w:val="center" w:pos="4680"/>
        <w:tab w:val="right" w:pos="9360"/>
      </w:tabs>
    </w:pPr>
  </w:style>
  <w:style w:type="character" w:customStyle="1" w:styleId="HeaderChar">
    <w:name w:val="Header Char"/>
    <w:basedOn w:val="DefaultParagraphFont"/>
    <w:link w:val="Header"/>
    <w:uiPriority w:val="99"/>
    <w:semiHidden/>
    <w:rsid w:val="007A64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A64C8"/>
    <w:pPr>
      <w:tabs>
        <w:tab w:val="center" w:pos="4680"/>
        <w:tab w:val="right" w:pos="9360"/>
      </w:tabs>
    </w:pPr>
  </w:style>
  <w:style w:type="character" w:customStyle="1" w:styleId="FooterChar">
    <w:name w:val="Footer Char"/>
    <w:basedOn w:val="DefaultParagraphFont"/>
    <w:link w:val="Footer"/>
    <w:uiPriority w:val="99"/>
    <w:rsid w:val="007A64C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C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D0AAB"/>
    <w:pPr>
      <w:ind w:left="720"/>
    </w:pPr>
  </w:style>
  <w:style w:type="paragraph" w:styleId="NoSpacing">
    <w:name w:val="No Spacing"/>
    <w:uiPriority w:val="1"/>
    <w:qFormat/>
    <w:rsid w:val="000E21AD"/>
    <w:pPr>
      <w:spacing w:after="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semiHidden/>
    <w:unhideWhenUsed/>
    <w:rsid w:val="007A64C8"/>
    <w:pPr>
      <w:tabs>
        <w:tab w:val="center" w:pos="4680"/>
        <w:tab w:val="right" w:pos="9360"/>
      </w:tabs>
    </w:pPr>
  </w:style>
  <w:style w:type="character" w:customStyle="1" w:styleId="HeaderChar">
    <w:name w:val="Header Char"/>
    <w:basedOn w:val="DefaultParagraphFont"/>
    <w:link w:val="Header"/>
    <w:uiPriority w:val="99"/>
    <w:semiHidden/>
    <w:rsid w:val="007A64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A64C8"/>
    <w:pPr>
      <w:tabs>
        <w:tab w:val="center" w:pos="4680"/>
        <w:tab w:val="right" w:pos="9360"/>
      </w:tabs>
    </w:pPr>
  </w:style>
  <w:style w:type="character" w:customStyle="1" w:styleId="FooterChar">
    <w:name w:val="Footer Char"/>
    <w:basedOn w:val="DefaultParagraphFont"/>
    <w:link w:val="Footer"/>
    <w:uiPriority w:val="99"/>
    <w:rsid w:val="007A64C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Executive Summary</vt:lpstr>
    </vt:vector>
  </TitlesOfParts>
  <Company>Hewlett-Packard Company</Company>
  <LinksUpToDate>false</LinksUpToDate>
  <CharactersWithSpaces>10614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creator>COA - National Tobacco Administration</dc:creator>
  <cp:lastModifiedBy>nta</cp:lastModifiedBy>
  <cp:revision>2</cp:revision>
  <cp:lastPrinted>2014-09-16T04:02:00Z</cp:lastPrinted>
  <dcterms:created xsi:type="dcterms:W3CDTF">2015-01-20T04:54:00Z</dcterms:created>
  <dcterms:modified xsi:type="dcterms:W3CDTF">2015-01-20T04:54:00Z</dcterms:modified>
</cp:coreProperties>
</file>